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7AC9" w14:textId="718A8EA9" w:rsidR="008D2DEB" w:rsidRPr="00423BB4" w:rsidRDefault="008E1599" w:rsidP="008E1599">
      <w:pPr>
        <w:pStyle w:val="Titre"/>
        <w:jc w:val="center"/>
        <w:rPr>
          <w:b/>
          <w:sz w:val="36"/>
          <w:szCs w:val="36"/>
          <w:lang w:val="en-US"/>
        </w:rPr>
      </w:pPr>
      <w:r w:rsidRPr="00423BB4">
        <w:rPr>
          <w:b/>
          <w:sz w:val="36"/>
          <w:szCs w:val="36"/>
          <w:lang w:val="en-US"/>
        </w:rPr>
        <w:t>Making It Work </w:t>
      </w:r>
      <w:r w:rsidR="008D2DEB" w:rsidRPr="00423BB4">
        <w:rPr>
          <w:b/>
          <w:sz w:val="36"/>
          <w:szCs w:val="36"/>
          <w:lang w:val="en-US"/>
        </w:rPr>
        <w:t>Genre et Handicap</w:t>
      </w:r>
    </w:p>
    <w:p w14:paraId="4B9870DB" w14:textId="2C4C48A3" w:rsidR="00F31CEC" w:rsidRPr="008E1599" w:rsidRDefault="008D2DEB" w:rsidP="008E1599">
      <w:pPr>
        <w:pStyle w:val="Titre"/>
        <w:jc w:val="center"/>
        <w:rPr>
          <w:b/>
          <w:sz w:val="36"/>
          <w:szCs w:val="36"/>
        </w:rPr>
      </w:pPr>
      <w:r w:rsidRPr="008D2DEB">
        <w:rPr>
          <w:b/>
          <w:sz w:val="36"/>
          <w:szCs w:val="36"/>
        </w:rPr>
        <w:t xml:space="preserve">Résumé de projet </w:t>
      </w:r>
      <w:r>
        <w:rPr>
          <w:b/>
          <w:sz w:val="36"/>
          <w:szCs w:val="36"/>
        </w:rPr>
        <w:t>–</w:t>
      </w:r>
      <w:r w:rsidRPr="008D2DEB">
        <w:rPr>
          <w:b/>
          <w:sz w:val="36"/>
          <w:szCs w:val="36"/>
        </w:rPr>
        <w:t xml:space="preserve"> juil</w:t>
      </w:r>
      <w:r>
        <w:rPr>
          <w:b/>
          <w:sz w:val="36"/>
          <w:szCs w:val="36"/>
        </w:rPr>
        <w:t>let 2023</w:t>
      </w:r>
      <w:r w:rsidR="00D066E1">
        <w:rPr>
          <w:b/>
          <w:sz w:val="36"/>
          <w:szCs w:val="36"/>
        </w:rPr>
        <w:t xml:space="preserve">  </w:t>
      </w:r>
    </w:p>
    <w:p w14:paraId="322E4F8F" w14:textId="77777777" w:rsidR="00F31CEC" w:rsidRDefault="00F31CEC" w:rsidP="00F31CEC">
      <w:pPr>
        <w:pStyle w:val="Default"/>
        <w:rPr>
          <w:sz w:val="22"/>
          <w:szCs w:val="22"/>
        </w:rPr>
      </w:pPr>
    </w:p>
    <w:p w14:paraId="35AEFE29" w14:textId="38063DEC" w:rsidR="0098397E" w:rsidRDefault="004F4A10" w:rsidP="00C333B8">
      <w:r>
        <w:t>L’initiative M</w:t>
      </w:r>
      <w:r w:rsidR="0098397E">
        <w:t xml:space="preserve">aking </w:t>
      </w:r>
      <w:r>
        <w:t>I</w:t>
      </w:r>
      <w:r w:rsidR="0098397E">
        <w:t xml:space="preserve">t </w:t>
      </w:r>
      <w:r>
        <w:t>W</w:t>
      </w:r>
      <w:r w:rsidR="0098397E">
        <w:t xml:space="preserve">ork (MIW), conçue </w:t>
      </w:r>
      <w:r>
        <w:t xml:space="preserve">en </w:t>
      </w:r>
      <w:r w:rsidRPr="004F4A10">
        <w:t>2014</w:t>
      </w:r>
      <w:r>
        <w:t xml:space="preserve"> pour soutenir </w:t>
      </w:r>
      <w:r w:rsidR="0098397E">
        <w:t xml:space="preserve">la mise en œuvre effective de la Convention relative aux droits des personnes handicapées (CDPH), s’est très vite concentrée sur la mise en lumière et le soutien à des actions </w:t>
      </w:r>
      <w:r w:rsidR="00C333B8">
        <w:t>menées par des</w:t>
      </w:r>
      <w:r w:rsidR="0098397E">
        <w:t xml:space="preserve"> organisations dirigées par des femmes handicapées</w:t>
      </w:r>
      <w:r w:rsidR="00226570">
        <w:t xml:space="preserve"> ; devenant le </w:t>
      </w:r>
      <w:r w:rsidR="00226570" w:rsidRPr="00226570">
        <w:rPr>
          <w:b/>
          <w:bCs/>
          <w:color w:val="FFFFFF" w:themeColor="background1"/>
          <w:highlight w:val="darkMagenta"/>
        </w:rPr>
        <w:t>projet Making It Work Genre et Handicap</w:t>
      </w:r>
      <w:r w:rsidR="00226570">
        <w:t xml:space="preserve">. </w:t>
      </w:r>
      <w:r w:rsidR="0098397E">
        <w:t xml:space="preserve"> </w:t>
      </w:r>
    </w:p>
    <w:p w14:paraId="1559433D" w14:textId="3D6D20C3" w:rsidR="003E67A3" w:rsidRDefault="0098397E" w:rsidP="00C333B8">
      <w:r w:rsidRPr="0098397E">
        <w:t>Reconnaissant le p</w:t>
      </w:r>
      <w:r>
        <w:t xml:space="preserve">eu d’attention porté aux discriminations et aux violences subies par les femmes handicapées, MIW a documenté depuis </w:t>
      </w:r>
      <w:r w:rsidR="003E67A3">
        <w:t>26</w:t>
      </w:r>
      <w:r>
        <w:t xml:space="preserve"> bonnes pr</w:t>
      </w:r>
      <w:r w:rsidR="003E67A3">
        <w:t>atiques dans 10</w:t>
      </w:r>
      <w:r>
        <w:t xml:space="preserve"> pays</w:t>
      </w:r>
      <w:r w:rsidR="0083658E">
        <w:t>, visant à la prévention et la réponse aux violences et plus largement la promotion des droits des femmes et filles handicapées.</w:t>
      </w:r>
      <w:r w:rsidR="003E67A3">
        <w:t xml:space="preserve"> </w:t>
      </w:r>
    </w:p>
    <w:p w14:paraId="14BE79A9" w14:textId="77777777" w:rsidR="00450057" w:rsidRDefault="00450057" w:rsidP="00450057">
      <w:pPr>
        <w:pStyle w:val="NormalWeb"/>
        <w:rPr>
          <w:rFonts w:asciiTheme="minorHAnsi" w:eastAsiaTheme="minorHAnsi" w:hAnsiTheme="minorHAnsi" w:cstheme="minorHAnsi"/>
          <w:sz w:val="21"/>
          <w:szCs w:val="21"/>
          <w:lang w:eastAsia="en-US"/>
        </w:rPr>
        <w:sectPr w:rsidR="00450057">
          <w:headerReference w:type="default" r:id="rId11"/>
          <w:footerReference w:type="default" r:id="rId12"/>
          <w:pgSz w:w="11906" w:h="16838"/>
          <w:pgMar w:top="1417" w:right="1417" w:bottom="1417" w:left="1417" w:header="708" w:footer="708" w:gutter="0"/>
          <w:cols w:space="708"/>
          <w:docGrid w:linePitch="360"/>
        </w:sectPr>
      </w:pPr>
    </w:p>
    <w:p w14:paraId="3CA8BF6E" w14:textId="77777777" w:rsidR="00450057" w:rsidRDefault="00450057" w:rsidP="001F4516">
      <w:pPr>
        <w:pStyle w:val="NormalWeb"/>
        <w:jc w:val="center"/>
        <w:rPr>
          <w:rFonts w:asciiTheme="minorHAnsi" w:eastAsiaTheme="minorHAnsi" w:hAnsiTheme="minorHAnsi" w:cstheme="minorHAnsi"/>
          <w:sz w:val="21"/>
          <w:szCs w:val="21"/>
          <w:lang w:eastAsia="en-US"/>
        </w:rPr>
      </w:pPr>
      <w:r w:rsidRPr="00450057">
        <w:rPr>
          <w:rFonts w:asciiTheme="minorHAnsi" w:hAnsiTheme="minorHAnsi" w:cstheme="minorHAnsi"/>
          <w:b/>
          <w:bCs/>
          <w:noProof/>
          <w:color w:val="131313"/>
          <w:sz w:val="21"/>
          <w:szCs w:val="21"/>
        </w:rPr>
        <w:drawing>
          <wp:inline distT="0" distB="0" distL="0" distR="0" wp14:anchorId="2B616EE2" wp14:editId="055168F2">
            <wp:extent cx="1065008" cy="1371600"/>
            <wp:effectExtent l="0" t="0" r="1905" b="0"/>
            <wp:docPr id="507917924" name="Image 1" descr="Image de la page de couverture du rapport 2022 MIW avec le titre et la photo de groupe de l'atelier 2022 à Saly, Sénégal. ">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7924" name="Image 1" descr="Image de la page de couverture du rapport 2022 MIW avec le titre et la photo de groupe de l'atelier 2022 à Saly, Sénégal. ">
                      <a:hlinkClick r:id="rId13" tgtFrame="_blank"/>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758" cy="1391884"/>
                    </a:xfrm>
                    <a:prstGeom prst="rect">
                      <a:avLst/>
                    </a:prstGeom>
                    <a:noFill/>
                    <a:ln>
                      <a:noFill/>
                    </a:ln>
                  </pic:spPr>
                </pic:pic>
              </a:graphicData>
            </a:graphic>
          </wp:inline>
        </w:drawing>
      </w:r>
    </w:p>
    <w:p w14:paraId="6A4DFE57" w14:textId="3E37A6E5" w:rsidR="00450057" w:rsidRDefault="00226570" w:rsidP="00450057">
      <w:pPr>
        <w:rPr>
          <w:rFonts w:cstheme="minorHAnsi"/>
          <w:szCs w:val="21"/>
        </w:rPr>
        <w:sectPr w:rsidR="00450057" w:rsidSect="005A46A4">
          <w:type w:val="continuous"/>
          <w:pgSz w:w="11906" w:h="16838"/>
          <w:pgMar w:top="1417" w:right="1417" w:bottom="1417" w:left="1417" w:header="708" w:footer="708" w:gutter="0"/>
          <w:cols w:num="2" w:space="1108" w:equalWidth="0">
            <w:col w:w="3515" w:space="255"/>
            <w:col w:w="5302"/>
          </w:cols>
          <w:docGrid w:linePitch="360"/>
        </w:sectPr>
      </w:pPr>
      <w:r w:rsidRPr="00450057">
        <w:rPr>
          <w:rFonts w:cstheme="minorHAnsi"/>
          <w:szCs w:val="21"/>
        </w:rPr>
        <w:t>Depuis 2021,</w:t>
      </w:r>
      <w:r w:rsidR="00D42F8A" w:rsidRPr="00450057">
        <w:rPr>
          <w:rFonts w:cstheme="minorHAnsi"/>
          <w:szCs w:val="21"/>
        </w:rPr>
        <w:t xml:space="preserve"> </w:t>
      </w:r>
      <w:r w:rsidR="00D42F8A" w:rsidRPr="00450057">
        <w:rPr>
          <w:rFonts w:cstheme="minorHAnsi"/>
          <w:b/>
          <w:bCs/>
          <w:color w:val="FFFFFF" w:themeColor="background1"/>
          <w:szCs w:val="21"/>
          <w:highlight w:val="darkMagenta"/>
        </w:rPr>
        <w:t xml:space="preserve">MIW a développé son réseau en Afrique de l’Ouest </w:t>
      </w:r>
      <w:r w:rsidRPr="00450057">
        <w:rPr>
          <w:rFonts w:cstheme="minorHAnsi"/>
          <w:szCs w:val="21"/>
        </w:rPr>
        <w:t xml:space="preserve"> avec de nouvelles partenaires au Benin, Sénégal et tout récemment Togo. Découvrez</w:t>
      </w:r>
      <w:r w:rsidR="00450057">
        <w:rPr>
          <w:rFonts w:cstheme="minorHAnsi"/>
          <w:szCs w:val="21"/>
        </w:rPr>
        <w:t>-</w:t>
      </w:r>
      <w:r w:rsidRPr="00450057">
        <w:rPr>
          <w:rFonts w:cstheme="minorHAnsi"/>
          <w:szCs w:val="21"/>
        </w:rPr>
        <w:t xml:space="preserve">les dans le rapport 2022 </w:t>
      </w:r>
      <w:r w:rsidR="00450057" w:rsidRPr="00450057">
        <w:rPr>
          <w:rStyle w:val="yt-core-attributed-string--link-inherit-color"/>
          <w:rFonts w:cstheme="minorHAnsi"/>
          <w:color w:val="131313"/>
          <w:szCs w:val="21"/>
        </w:rPr>
        <w:t xml:space="preserve">de MIW </w:t>
      </w:r>
      <w:hyperlink r:id="rId15" w:tgtFrame="_blank" w:history="1">
        <w:r w:rsidR="00450057" w:rsidRPr="00450057">
          <w:rPr>
            <w:rStyle w:val="yt-core-attributed-string--link-inherit-color"/>
            <w:rFonts w:cstheme="minorHAnsi"/>
            <w:b/>
            <w:bCs/>
            <w:color w:val="131313"/>
            <w:szCs w:val="21"/>
          </w:rPr>
          <w:t>"Lead</w:t>
        </w:r>
      </w:hyperlink>
      <w:hyperlink r:id="rId16" w:tgtFrame="_blank" w:history="1">
        <w:r w:rsidR="00450057" w:rsidRPr="00450057">
          <w:rPr>
            <w:rStyle w:val="yt-core-attributed-string--link-inherit-color"/>
            <w:rFonts w:cstheme="minorHAnsi"/>
            <w:b/>
            <w:bCs/>
            <w:color w:val="131313"/>
            <w:szCs w:val="21"/>
          </w:rPr>
          <w:t xml:space="preserve">ership des femmes handicapées : stratégies de lutte contre les violences en Afrique de l'Ouest". </w:t>
        </w:r>
      </w:hyperlink>
    </w:p>
    <w:p w14:paraId="5D447DD9" w14:textId="6B8536F9" w:rsidR="002D7701" w:rsidRDefault="00A90B99" w:rsidP="00A847D0">
      <w:pPr>
        <w:spacing w:after="0"/>
        <w:rPr>
          <w:b/>
          <w:color w:val="1F3864" w:themeColor="accent5" w:themeShade="80"/>
          <w:sz w:val="24"/>
          <w:szCs w:val="24"/>
        </w:rPr>
      </w:pPr>
      <w:r w:rsidRPr="00A90B99">
        <w:rPr>
          <w:b/>
          <w:color w:val="1F3864" w:themeColor="accent5" w:themeShade="80"/>
          <w:sz w:val="24"/>
          <w:szCs w:val="24"/>
        </w:rPr>
        <w:t xml:space="preserve">Aujourd’hui, MIW </w:t>
      </w:r>
      <w:r>
        <w:rPr>
          <w:b/>
          <w:color w:val="1F3864" w:themeColor="accent5" w:themeShade="80"/>
          <w:sz w:val="24"/>
          <w:szCs w:val="24"/>
        </w:rPr>
        <w:t>est forte d’un réseau</w:t>
      </w:r>
      <w:r w:rsidRPr="00A90B99">
        <w:rPr>
          <w:b/>
          <w:color w:val="1F3864" w:themeColor="accent5" w:themeShade="80"/>
          <w:sz w:val="24"/>
          <w:szCs w:val="24"/>
        </w:rPr>
        <w:t xml:space="preserve"> </w:t>
      </w:r>
      <w:r>
        <w:rPr>
          <w:b/>
          <w:color w:val="1F3864" w:themeColor="accent5" w:themeShade="80"/>
          <w:sz w:val="24"/>
          <w:szCs w:val="24"/>
        </w:rPr>
        <w:t>de</w:t>
      </w:r>
      <w:r w:rsidRPr="00A90B99">
        <w:rPr>
          <w:b/>
          <w:color w:val="1F3864" w:themeColor="accent5" w:themeShade="80"/>
          <w:sz w:val="24"/>
          <w:szCs w:val="24"/>
        </w:rPr>
        <w:t xml:space="preserve"> 17 organisations partenaires dans </w:t>
      </w:r>
      <w:r w:rsidR="00873639">
        <w:rPr>
          <w:b/>
          <w:color w:val="1F3864" w:themeColor="accent5" w:themeShade="80"/>
          <w:sz w:val="24"/>
          <w:szCs w:val="24"/>
        </w:rPr>
        <w:t>10</w:t>
      </w:r>
      <w:r w:rsidRPr="00A90B99">
        <w:rPr>
          <w:b/>
          <w:color w:val="1F3864" w:themeColor="accent5" w:themeShade="80"/>
          <w:sz w:val="24"/>
          <w:szCs w:val="24"/>
        </w:rPr>
        <w:t xml:space="preserve"> pays du continent africain :</w:t>
      </w:r>
      <w:r>
        <w:rPr>
          <w:b/>
          <w:color w:val="1F3864" w:themeColor="accent5" w:themeShade="80"/>
          <w:sz w:val="24"/>
          <w:szCs w:val="24"/>
        </w:rPr>
        <w:t xml:space="preserve"> B</w:t>
      </w:r>
      <w:r w:rsidR="00E5319A">
        <w:rPr>
          <w:b/>
          <w:color w:val="1F3864" w:themeColor="accent5" w:themeShade="80"/>
          <w:sz w:val="24"/>
          <w:szCs w:val="24"/>
        </w:rPr>
        <w:t>é</w:t>
      </w:r>
      <w:r>
        <w:rPr>
          <w:b/>
          <w:color w:val="1F3864" w:themeColor="accent5" w:themeShade="80"/>
          <w:sz w:val="24"/>
          <w:szCs w:val="24"/>
        </w:rPr>
        <w:t>nin,</w:t>
      </w:r>
      <w:r w:rsidRPr="00A90B99">
        <w:rPr>
          <w:b/>
          <w:color w:val="1F3864" w:themeColor="accent5" w:themeShade="80"/>
          <w:sz w:val="24"/>
          <w:szCs w:val="24"/>
        </w:rPr>
        <w:t xml:space="preserve"> </w:t>
      </w:r>
      <w:r>
        <w:rPr>
          <w:b/>
          <w:color w:val="1F3864" w:themeColor="accent5" w:themeShade="80"/>
          <w:sz w:val="24"/>
          <w:szCs w:val="24"/>
        </w:rPr>
        <w:t>Burundi,</w:t>
      </w:r>
      <w:r w:rsidR="002D7701">
        <w:rPr>
          <w:b/>
          <w:color w:val="1F3864" w:themeColor="accent5" w:themeShade="80"/>
          <w:sz w:val="24"/>
          <w:szCs w:val="24"/>
        </w:rPr>
        <w:t xml:space="preserve"> </w:t>
      </w:r>
      <w:r w:rsidRPr="00A90B99">
        <w:rPr>
          <w:b/>
          <w:color w:val="1F3864" w:themeColor="accent5" w:themeShade="80"/>
          <w:sz w:val="24"/>
          <w:szCs w:val="24"/>
        </w:rPr>
        <w:t>Cameroun</w:t>
      </w:r>
      <w:r>
        <w:rPr>
          <w:b/>
          <w:color w:val="1F3864" w:themeColor="accent5" w:themeShade="80"/>
          <w:sz w:val="24"/>
          <w:szCs w:val="24"/>
        </w:rPr>
        <w:t>,</w:t>
      </w:r>
      <w:r w:rsidRPr="00A90B99">
        <w:rPr>
          <w:b/>
          <w:color w:val="1F3864" w:themeColor="accent5" w:themeShade="80"/>
          <w:sz w:val="24"/>
          <w:szCs w:val="24"/>
        </w:rPr>
        <w:t xml:space="preserve"> Kenya</w:t>
      </w:r>
      <w:r>
        <w:rPr>
          <w:b/>
          <w:color w:val="1F3864" w:themeColor="accent5" w:themeShade="80"/>
          <w:sz w:val="24"/>
          <w:szCs w:val="24"/>
        </w:rPr>
        <w:t>,</w:t>
      </w:r>
      <w:r w:rsidRPr="00A90B99">
        <w:rPr>
          <w:b/>
          <w:color w:val="1F3864" w:themeColor="accent5" w:themeShade="80"/>
          <w:sz w:val="24"/>
          <w:szCs w:val="24"/>
        </w:rPr>
        <w:t xml:space="preserve"> Malawi</w:t>
      </w:r>
      <w:r>
        <w:rPr>
          <w:b/>
          <w:color w:val="1F3864" w:themeColor="accent5" w:themeShade="80"/>
          <w:sz w:val="24"/>
          <w:szCs w:val="24"/>
        </w:rPr>
        <w:t xml:space="preserve">, </w:t>
      </w:r>
      <w:r w:rsidR="002D7701">
        <w:rPr>
          <w:b/>
          <w:color w:val="1F3864" w:themeColor="accent5" w:themeShade="80"/>
          <w:sz w:val="24"/>
          <w:szCs w:val="24"/>
        </w:rPr>
        <w:t xml:space="preserve">Nigeria, </w:t>
      </w:r>
      <w:r w:rsidRPr="00A90B99">
        <w:rPr>
          <w:b/>
          <w:color w:val="1F3864" w:themeColor="accent5" w:themeShade="80"/>
          <w:sz w:val="24"/>
          <w:szCs w:val="24"/>
        </w:rPr>
        <w:t>Ouganda, Rwanda</w:t>
      </w:r>
      <w:r>
        <w:rPr>
          <w:b/>
          <w:color w:val="1F3864" w:themeColor="accent5" w:themeShade="80"/>
          <w:sz w:val="24"/>
          <w:szCs w:val="24"/>
        </w:rPr>
        <w:t xml:space="preserve">, </w:t>
      </w:r>
      <w:r w:rsidRPr="00A90B99">
        <w:rPr>
          <w:b/>
          <w:color w:val="1F3864" w:themeColor="accent5" w:themeShade="80"/>
          <w:sz w:val="24"/>
          <w:szCs w:val="24"/>
        </w:rPr>
        <w:t>S</w:t>
      </w:r>
      <w:r w:rsidR="00E5319A">
        <w:rPr>
          <w:b/>
          <w:color w:val="1F3864" w:themeColor="accent5" w:themeShade="80"/>
          <w:sz w:val="24"/>
          <w:szCs w:val="24"/>
        </w:rPr>
        <w:t>é</w:t>
      </w:r>
      <w:r w:rsidRPr="00A90B99">
        <w:rPr>
          <w:b/>
          <w:color w:val="1F3864" w:themeColor="accent5" w:themeShade="80"/>
          <w:sz w:val="24"/>
          <w:szCs w:val="24"/>
        </w:rPr>
        <w:t>n</w:t>
      </w:r>
      <w:r w:rsidR="00E5319A">
        <w:rPr>
          <w:b/>
          <w:color w:val="1F3864" w:themeColor="accent5" w:themeShade="80"/>
          <w:sz w:val="24"/>
          <w:szCs w:val="24"/>
        </w:rPr>
        <w:t>é</w:t>
      </w:r>
      <w:r w:rsidRPr="00A90B99">
        <w:rPr>
          <w:b/>
          <w:color w:val="1F3864" w:themeColor="accent5" w:themeShade="80"/>
          <w:sz w:val="24"/>
          <w:szCs w:val="24"/>
        </w:rPr>
        <w:t>gal</w:t>
      </w:r>
      <w:r>
        <w:rPr>
          <w:b/>
          <w:color w:val="1F3864" w:themeColor="accent5" w:themeShade="80"/>
          <w:sz w:val="24"/>
          <w:szCs w:val="24"/>
        </w:rPr>
        <w:t xml:space="preserve"> et </w:t>
      </w:r>
      <w:r w:rsidRPr="00A90B99">
        <w:rPr>
          <w:b/>
          <w:color w:val="1F3864" w:themeColor="accent5" w:themeShade="80"/>
          <w:sz w:val="24"/>
          <w:szCs w:val="24"/>
        </w:rPr>
        <w:t xml:space="preserve">Togo. </w:t>
      </w:r>
    </w:p>
    <w:p w14:paraId="4DA6C721" w14:textId="77777777" w:rsidR="00365FE8" w:rsidRDefault="00365FE8" w:rsidP="00365FE8">
      <w:pPr>
        <w:pStyle w:val="Titre1"/>
      </w:pPr>
      <w:r>
        <w:t xml:space="preserve">Au service du leadership et des droits des femmes handicapées </w:t>
      </w:r>
    </w:p>
    <w:p w14:paraId="12322DFC" w14:textId="77777777" w:rsidR="00365FE8" w:rsidRDefault="00365FE8" w:rsidP="00365FE8">
      <w:pPr>
        <w:spacing w:before="120" w:after="0"/>
        <w:jc w:val="center"/>
        <w:sectPr w:rsidR="00365FE8" w:rsidSect="002D7701">
          <w:type w:val="continuous"/>
          <w:pgSz w:w="11906" w:h="16838"/>
          <w:pgMar w:top="1417" w:right="1417" w:bottom="1417" w:left="1417" w:header="708" w:footer="708" w:gutter="0"/>
          <w:cols w:space="708"/>
          <w:docGrid w:linePitch="360"/>
        </w:sectPr>
      </w:pPr>
    </w:p>
    <w:p w14:paraId="2A1ACCBA" w14:textId="77777777" w:rsidR="00365FE8" w:rsidRDefault="00365FE8" w:rsidP="00365FE8">
      <w:pPr>
        <w:spacing w:before="120" w:after="0"/>
        <w:ind w:right="-199"/>
      </w:pPr>
      <w:r>
        <w:rPr>
          <w:noProof/>
        </w:rPr>
        <w:drawing>
          <wp:inline distT="0" distB="0" distL="0" distR="0" wp14:anchorId="45033209" wp14:editId="26A35F49">
            <wp:extent cx="2514600" cy="1516465"/>
            <wp:effectExtent l="0" t="0" r="0" b="7620"/>
            <wp:docPr id="836741059" name="Image 2" descr="Visuel avec les photos d'Awa Touré de la Brigade, Sénégal, de Janet Ajangi de LIDDWA, Ouganda, et de Regina Kognon de l'ONG Bartimee, Beni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741059" name="Image 2" descr="Visuel avec les photos d'Awa Touré de la Brigade, Sénégal, de Janet Ajangi de LIDDWA, Ouganda, et de Regina Kognon de l'ONG Bartimee, Benin.">
                      <a:extLst>
                        <a:ext uri="{C183D7F6-B498-43B3-948B-1728B52AA6E4}">
                          <adec:decorative xmlns:adec="http://schemas.microsoft.com/office/drawing/2017/decorative" val="0"/>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1470" cy="1520608"/>
                    </a:xfrm>
                    <a:prstGeom prst="rect">
                      <a:avLst/>
                    </a:prstGeom>
                  </pic:spPr>
                </pic:pic>
              </a:graphicData>
            </a:graphic>
          </wp:inline>
        </w:drawing>
      </w:r>
    </w:p>
    <w:p w14:paraId="612CCD8A" w14:textId="77777777" w:rsidR="00365FE8" w:rsidRDefault="00365FE8" w:rsidP="00365FE8">
      <w:pPr>
        <w:spacing w:after="0"/>
      </w:pPr>
    </w:p>
    <w:p w14:paraId="0ED61C66" w14:textId="77777777" w:rsidR="00365FE8" w:rsidRDefault="00365FE8" w:rsidP="00365FE8">
      <w:pPr>
        <w:spacing w:after="0"/>
      </w:pPr>
      <w:r w:rsidRPr="003E67A3">
        <w:t xml:space="preserve">L’équipe MIW et les organisations partenaires coopèrent pour : 1) </w:t>
      </w:r>
      <w:r w:rsidRPr="00C333B8">
        <w:rPr>
          <w:b/>
        </w:rPr>
        <w:t xml:space="preserve">contribuer à lever l’invisibilisation des femmes et filles victimes de discriminations multiples et intersectionnelles </w:t>
      </w:r>
      <w:r w:rsidRPr="003E67A3">
        <w:t xml:space="preserve">par un plaidoyer basé </w:t>
      </w:r>
      <w:r>
        <w:t>sur</w:t>
      </w:r>
      <w:r w:rsidRPr="003E67A3">
        <w:t xml:space="preserve"> les preuves</w:t>
      </w:r>
      <w:r>
        <w:t xml:space="preserve"> et mené par les femmes leaders des organisations</w:t>
      </w:r>
      <w:r w:rsidRPr="003E67A3">
        <w:t xml:space="preserve"> 2) augmenter l’impact des actions des </w:t>
      </w:r>
      <w:r w:rsidRPr="00C333B8">
        <w:rPr>
          <w:b/>
        </w:rPr>
        <w:t>organisations dirigées par des femmes</w:t>
      </w:r>
      <w:r w:rsidRPr="003E67A3">
        <w:t>, notamment à travers la mise à l’échelle</w:t>
      </w:r>
      <w:r>
        <w:t>,</w:t>
      </w:r>
      <w:r w:rsidRPr="003E67A3">
        <w:t xml:space="preserve"> </w:t>
      </w:r>
      <w:r>
        <w:t xml:space="preserve">avec le soutien financier et technique de MIW, </w:t>
      </w:r>
      <w:r w:rsidRPr="003E67A3">
        <w:t xml:space="preserve">de leurs bonnes pratiques </w:t>
      </w:r>
      <w:r>
        <w:t>pour</w:t>
      </w:r>
      <w:r w:rsidRPr="003E67A3">
        <w:t xml:space="preserve"> prévenir et répondre aux violences faites aux femmes et filles handicapées.</w:t>
      </w:r>
    </w:p>
    <w:p w14:paraId="470C32CC" w14:textId="77777777" w:rsidR="00365FE8" w:rsidRDefault="00365FE8" w:rsidP="00365FE8">
      <w:pPr>
        <w:spacing w:before="240"/>
        <w:rPr>
          <w:b/>
          <w:bCs/>
          <w:color w:val="FFFFFF" w:themeColor="background1"/>
          <w:highlight w:val="darkMagenta"/>
        </w:rPr>
        <w:sectPr w:rsidR="00365FE8" w:rsidSect="00A847D0">
          <w:type w:val="continuous"/>
          <w:pgSz w:w="11906" w:h="16838"/>
          <w:pgMar w:top="1417" w:right="1417" w:bottom="1417" w:left="1417" w:header="708" w:footer="708" w:gutter="0"/>
          <w:cols w:num="2" w:space="340" w:equalWidth="0">
            <w:col w:w="3912" w:space="340"/>
            <w:col w:w="4820"/>
          </w:cols>
          <w:docGrid w:linePitch="360"/>
        </w:sectPr>
      </w:pPr>
    </w:p>
    <w:p w14:paraId="3A05895C" w14:textId="77777777" w:rsidR="00365FE8" w:rsidRDefault="00365FE8" w:rsidP="00365FE8">
      <w:pPr>
        <w:pStyle w:val="Paragraphedeliste"/>
        <w:numPr>
          <w:ilvl w:val="0"/>
          <w:numId w:val="2"/>
        </w:numPr>
        <w:spacing w:before="240"/>
      </w:pPr>
      <w:r>
        <w:t xml:space="preserve">Lire la contribution de </w:t>
      </w:r>
      <w:r w:rsidRPr="004878EF">
        <w:rPr>
          <w:b/>
          <w:bCs/>
          <w:color w:val="FFFFFF" w:themeColor="background1"/>
          <w:highlight w:val="darkMagenta"/>
        </w:rPr>
        <w:t>14 organisations sur la représentation égale et inclusive des femmes</w:t>
      </w:r>
      <w:r w:rsidRPr="004878EF">
        <w:rPr>
          <w:color w:val="FFFFFF" w:themeColor="background1"/>
        </w:rPr>
        <w:t xml:space="preserve"> </w:t>
      </w:r>
      <w:r>
        <w:t xml:space="preserve">dans les systèmes de prise de décision pour le comité CEDAW, février 2023 </w:t>
      </w:r>
      <w:hyperlink r:id="rId18" w:tgtFrame="_blank" w:history="1">
        <w:r w:rsidRPr="004878EF">
          <w:rPr>
            <w:rStyle w:val="Lienhypertexte"/>
          </w:rPr>
          <w:t>sur ce lien</w:t>
        </w:r>
      </w:hyperlink>
      <w:r>
        <w:t xml:space="preserve"> </w:t>
      </w:r>
    </w:p>
    <w:p w14:paraId="017372AE" w14:textId="77777777" w:rsidR="00365FE8" w:rsidRPr="001F4516" w:rsidRDefault="00365FE8" w:rsidP="00365FE8">
      <w:pPr>
        <w:pStyle w:val="Paragraphedeliste"/>
        <w:numPr>
          <w:ilvl w:val="0"/>
          <w:numId w:val="2"/>
        </w:numPr>
        <w:spacing w:before="360"/>
        <w:ind w:left="714" w:hanging="357"/>
        <w:contextualSpacing w:val="0"/>
        <w:rPr>
          <w:rStyle w:val="Lienhypertexte"/>
          <w:color w:val="auto"/>
          <w:u w:val="none"/>
        </w:rPr>
      </w:pPr>
      <w:r>
        <w:t xml:space="preserve">Ecouter </w:t>
      </w:r>
      <w:r w:rsidRPr="004878EF">
        <w:rPr>
          <w:b/>
          <w:bCs/>
          <w:color w:val="FFFFFF" w:themeColor="background1"/>
          <w:highlight w:val="darkMagenta"/>
        </w:rPr>
        <w:t>3 femmes leaders handicapées panélistes en 2023</w:t>
      </w:r>
      <w:r w:rsidRPr="004878EF">
        <w:rPr>
          <w:color w:val="FFFFFF" w:themeColor="background1"/>
        </w:rPr>
        <w:t xml:space="preserve"> </w:t>
      </w:r>
      <w:r>
        <w:t xml:space="preserve">lors de la Commission sur la Condition de la femme CSW67 et de la Conférence des Etats Parties à la Convention internationale relative aux Droits des Personnes Handicapées COSP16 sur notre </w:t>
      </w:r>
      <w:hyperlink r:id="rId19" w:history="1">
        <w:r w:rsidRPr="004878EF">
          <w:rPr>
            <w:rStyle w:val="Lienhypertexte"/>
          </w:rPr>
          <w:t>chaine Youtube</w:t>
        </w:r>
      </w:hyperlink>
    </w:p>
    <w:p w14:paraId="5397A880" w14:textId="77777777" w:rsidR="00365FE8" w:rsidRDefault="00365FE8" w:rsidP="00365FE8"/>
    <w:p w14:paraId="60E74C1C" w14:textId="0F9D6FE5" w:rsidR="002D7701" w:rsidRPr="002D7701" w:rsidRDefault="002D7701" w:rsidP="00A847D0">
      <w:pPr>
        <w:pStyle w:val="Titre1"/>
      </w:pPr>
      <w:r w:rsidRPr="002D7701">
        <w:lastRenderedPageBreak/>
        <w:t xml:space="preserve">MIW : l’intersectionnalité en pratique </w:t>
      </w:r>
    </w:p>
    <w:p w14:paraId="1D32DD6E" w14:textId="6318A860" w:rsidR="002D7701" w:rsidRDefault="002D7701" w:rsidP="002D7701">
      <w:r>
        <w:t xml:space="preserve">Forte des expériences des organisations partenaires membres de ce réseau unique, MIW a pris une part croissante dans les efforts pour faire progresser la pleine réalisation des droits des femmes et filles souffrant de discriminations multiples et intersectionnelles. </w:t>
      </w:r>
    </w:p>
    <w:p w14:paraId="3B6BB185" w14:textId="77777777" w:rsidR="00A847D0" w:rsidRDefault="00A847D0" w:rsidP="002D7701">
      <w:pPr>
        <w:sectPr w:rsidR="00A847D0" w:rsidSect="00C675F9">
          <w:type w:val="continuous"/>
          <w:pgSz w:w="11906" w:h="16838"/>
          <w:pgMar w:top="1933" w:right="1417" w:bottom="1417" w:left="1417" w:header="708" w:footer="708" w:gutter="0"/>
          <w:cols w:space="1077"/>
          <w:docGrid w:linePitch="360"/>
        </w:sectPr>
      </w:pPr>
    </w:p>
    <w:p w14:paraId="02C4F3D3" w14:textId="77777777" w:rsidR="00A847D0" w:rsidRDefault="00370E70" w:rsidP="00A847D0">
      <w:pPr>
        <w:tabs>
          <w:tab w:val="left" w:pos="0"/>
        </w:tabs>
      </w:pPr>
      <w:r>
        <w:t xml:space="preserve">Renforçant son expertise </w:t>
      </w:r>
      <w:r w:rsidR="00A847D0">
        <w:t>avec</w:t>
      </w:r>
      <w:r>
        <w:t xml:space="preserve"> ses associations partenaires</w:t>
      </w:r>
      <w:r w:rsidR="003E67A3">
        <w:t xml:space="preserve">, MIW a co-développé avec </w:t>
      </w:r>
      <w:r w:rsidR="003E67A3" w:rsidRPr="00D42F8A">
        <w:rPr>
          <w:b/>
          <w:bCs/>
        </w:rPr>
        <w:t>Inclusive Friends Association Nigeria</w:t>
      </w:r>
      <w:r w:rsidR="003E67A3" w:rsidRPr="00D42F8A">
        <w:t xml:space="preserve"> le</w:t>
      </w:r>
      <w:r w:rsidRPr="00D42F8A">
        <w:t xml:space="preserve"> </w:t>
      </w:r>
      <w:r w:rsidRPr="00D42F8A">
        <w:rPr>
          <w:b/>
          <w:color w:val="FFFFFF" w:themeColor="background1"/>
          <w:highlight w:val="darkMagenta"/>
        </w:rPr>
        <w:t>« Guide pratique : l’inters</w:t>
      </w:r>
      <w:r w:rsidR="003E67A3" w:rsidRPr="00D42F8A">
        <w:rPr>
          <w:b/>
          <w:color w:val="FFFFFF" w:themeColor="background1"/>
          <w:highlight w:val="darkMagenta"/>
        </w:rPr>
        <w:t>e</w:t>
      </w:r>
      <w:r w:rsidRPr="00D42F8A">
        <w:rPr>
          <w:b/>
          <w:color w:val="FFFFFF" w:themeColor="background1"/>
          <w:highlight w:val="darkMagenta"/>
        </w:rPr>
        <w:t>ctionnalité en action »</w:t>
      </w:r>
      <w:r w:rsidR="0091179A" w:rsidRPr="00D42F8A">
        <w:rPr>
          <w:rStyle w:val="Appelnotedebasdep"/>
          <w:b/>
          <w:color w:val="FFFFFF" w:themeColor="background1"/>
          <w:highlight w:val="darkMagenta"/>
        </w:rPr>
        <w:footnoteReference w:id="1"/>
      </w:r>
      <w:r w:rsidRPr="00D42F8A">
        <w:rPr>
          <w:b/>
          <w:color w:val="FFFFFF" w:themeColor="background1"/>
          <w:highlight w:val="darkMagenta"/>
        </w:rPr>
        <w:t xml:space="preserve">, </w:t>
      </w:r>
      <w:r w:rsidR="003E67A3" w:rsidRPr="00D42F8A">
        <w:rPr>
          <w:b/>
          <w:color w:val="FFFFFF" w:themeColor="background1"/>
          <w:highlight w:val="darkMagenta"/>
        </w:rPr>
        <w:t>publié en mai 2022</w:t>
      </w:r>
      <w:r w:rsidR="003E67A3" w:rsidRPr="00D42F8A">
        <w:rPr>
          <w:highlight w:val="darkMagenta"/>
        </w:rPr>
        <w:t>.</w:t>
      </w:r>
      <w:r w:rsidR="00D42F8A">
        <w:t>.</w:t>
      </w:r>
      <w:r w:rsidR="00612FF9" w:rsidRPr="003E67A3">
        <w:t xml:space="preserve"> </w:t>
      </w:r>
    </w:p>
    <w:p w14:paraId="4642E0E4" w14:textId="77777777" w:rsidR="00A847D0" w:rsidRDefault="003E67A3" w:rsidP="00A847D0">
      <w:pPr>
        <w:tabs>
          <w:tab w:val="left" w:pos="0"/>
        </w:tabs>
        <w:rPr>
          <w:bCs/>
        </w:rPr>
      </w:pPr>
      <w:r w:rsidRPr="00C333B8">
        <w:rPr>
          <w:bCs/>
        </w:rPr>
        <w:t xml:space="preserve">Ce guide propose des étapes et des outils permettant d'adopter une approche intersectionnelle pour concevoir et lancer des projets qui ne laisseront aucune femme de côté. Il peut être utilisé pour aborder </w:t>
      </w:r>
      <w:r w:rsidR="00A847D0">
        <w:rPr>
          <w:bCs/>
        </w:rPr>
        <w:t>dans un</w:t>
      </w:r>
      <w:r w:rsidRPr="00C333B8">
        <w:rPr>
          <w:bCs/>
        </w:rPr>
        <w:t xml:space="preserve"> contexte </w:t>
      </w:r>
      <w:r w:rsidR="00A847D0">
        <w:rPr>
          <w:bCs/>
        </w:rPr>
        <w:t xml:space="preserve">donné, </w:t>
      </w:r>
      <w:r w:rsidRPr="00C333B8">
        <w:rPr>
          <w:bCs/>
        </w:rPr>
        <w:t>les facteurs de discrimination</w:t>
      </w:r>
      <w:r w:rsidR="00A847D0">
        <w:rPr>
          <w:bCs/>
        </w:rPr>
        <w:t xml:space="preserve"> pertinents</w:t>
      </w:r>
      <w:r w:rsidRPr="00C333B8">
        <w:rPr>
          <w:bCs/>
        </w:rPr>
        <w:t xml:space="preserve"> afin d'analyser les expériences vécues par les personnes, quels que soient leur genre, leur handicap, leur origine, leur ethnicité</w:t>
      </w:r>
      <w:r w:rsidR="00A847D0">
        <w:rPr>
          <w:bCs/>
        </w:rPr>
        <w:t>, etc.</w:t>
      </w:r>
    </w:p>
    <w:p w14:paraId="6511E3F0" w14:textId="4EA25FD2" w:rsidR="00A847D0" w:rsidRDefault="003E67A3" w:rsidP="00A847D0">
      <w:pPr>
        <w:tabs>
          <w:tab w:val="left" w:pos="0"/>
        </w:tabs>
        <w:sectPr w:rsidR="00A847D0" w:rsidSect="00A847D0">
          <w:type w:val="continuous"/>
          <w:pgSz w:w="11906" w:h="16838"/>
          <w:pgMar w:top="1417" w:right="1417" w:bottom="1417" w:left="1417" w:header="708" w:footer="708" w:gutter="0"/>
          <w:cols w:num="2" w:space="284" w:equalWidth="0">
            <w:col w:w="5046" w:space="284"/>
            <w:col w:w="3742"/>
          </w:cols>
          <w:docGrid w:linePitch="360"/>
        </w:sectPr>
      </w:pPr>
      <w:r w:rsidRPr="00C333B8">
        <w:rPr>
          <w:bCs/>
        </w:rPr>
        <w:t xml:space="preserve"> </w:t>
      </w:r>
      <w:r w:rsidR="00A847D0">
        <w:rPr>
          <w:noProof/>
          <w:lang w:eastAsia="fr-FR"/>
        </w:rPr>
        <w:drawing>
          <wp:inline distT="0" distB="0" distL="0" distR="0" wp14:anchorId="7CE82783" wp14:editId="27D4398F">
            <wp:extent cx="1327315" cy="1886620"/>
            <wp:effectExtent l="133350" t="114300" r="120650" b="170815"/>
            <wp:docPr id="2" name="Image 2" descr="Image de la page de couverture du guide pratique MIW. Fond violet avec titre et dessin d'un livre ouvert d'où s'envolent les engren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age de la page de couverture du guide pratique MIW. Fond violet avec titre et dessin d'un livre ouvert d'où s'envolent les engrenages. "/>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45534" cy="19125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64246B" w14:textId="296A9B3C" w:rsidR="002D7701" w:rsidRDefault="002D7701" w:rsidP="002D7701">
      <w:pPr>
        <w:pStyle w:val="Titre1"/>
      </w:pPr>
      <w:r>
        <w:t>Pour un féminisme intersectionnel</w:t>
      </w:r>
      <w:r w:rsidRPr="008E1599">
        <w:t xml:space="preserve"> anti-validiste</w:t>
      </w:r>
      <w:r>
        <w:t xml:space="preserve">, </w:t>
      </w:r>
      <w:r w:rsidR="00D42F8A">
        <w:t>décolonial, anti-raciste</w:t>
      </w:r>
    </w:p>
    <w:p w14:paraId="37B8398D" w14:textId="41E41B22" w:rsidR="001F4516" w:rsidRDefault="00C333B8" w:rsidP="00E53780">
      <w:pPr>
        <w:spacing w:after="120"/>
      </w:pPr>
      <w:r w:rsidRPr="00C333B8">
        <w:t xml:space="preserve">Making It Work s’inscrit </w:t>
      </w:r>
      <w:r w:rsidRPr="008E1599">
        <w:rPr>
          <w:b/>
        </w:rPr>
        <w:t xml:space="preserve">dans une vision </w:t>
      </w:r>
      <w:r w:rsidRPr="00E5319A">
        <w:rPr>
          <w:b/>
        </w:rPr>
        <w:t>féministe</w:t>
      </w:r>
      <w:r w:rsidR="00CD30BB" w:rsidRPr="00E5319A">
        <w:rPr>
          <w:b/>
        </w:rPr>
        <w:t xml:space="preserve"> intersectionnelle</w:t>
      </w:r>
      <w:r w:rsidRPr="00E5319A">
        <w:rPr>
          <w:b/>
        </w:rPr>
        <w:t xml:space="preserve"> </w:t>
      </w:r>
      <w:r w:rsidRPr="00E5319A">
        <w:rPr>
          <w:b/>
          <w:color w:val="FFFFFF" w:themeColor="background1"/>
          <w:highlight w:val="darkMagenta"/>
        </w:rPr>
        <w:t>anti-validiste</w:t>
      </w:r>
      <w:r w:rsidR="008E1599" w:rsidRPr="00E5319A">
        <w:rPr>
          <w:b/>
          <w:color w:val="FFFFFF" w:themeColor="background1"/>
          <w:highlight w:val="darkMagenta"/>
        </w:rPr>
        <w:t>,</w:t>
      </w:r>
      <w:r w:rsidR="00D42F8A" w:rsidRPr="00E5319A">
        <w:rPr>
          <w:b/>
          <w:color w:val="FFFFFF" w:themeColor="background1"/>
          <w:highlight w:val="darkMagenta"/>
        </w:rPr>
        <w:t xml:space="preserve"> anti-raciste,</w:t>
      </w:r>
      <w:r w:rsidR="008E1599" w:rsidRPr="00E5319A">
        <w:rPr>
          <w:b/>
          <w:color w:val="FFFFFF" w:themeColor="background1"/>
          <w:highlight w:val="darkMagenta"/>
        </w:rPr>
        <w:t xml:space="preserve"> </w:t>
      </w:r>
      <w:r w:rsidR="00CD30BB" w:rsidRPr="00E5319A">
        <w:rPr>
          <w:b/>
          <w:color w:val="FFFFFF" w:themeColor="background1"/>
          <w:highlight w:val="darkMagenta"/>
        </w:rPr>
        <w:t xml:space="preserve">et </w:t>
      </w:r>
      <w:r w:rsidR="008E1599" w:rsidRPr="00E5319A">
        <w:rPr>
          <w:b/>
          <w:color w:val="FFFFFF" w:themeColor="background1"/>
          <w:highlight w:val="darkMagenta"/>
        </w:rPr>
        <w:t>décoloniale</w:t>
      </w:r>
      <w:r w:rsidRPr="008E1599">
        <w:rPr>
          <w:b/>
        </w:rPr>
        <w:t xml:space="preserve"> de la lutte contre les violences faites a</w:t>
      </w:r>
      <w:r w:rsidR="008E1599" w:rsidRPr="008E1599">
        <w:rPr>
          <w:b/>
        </w:rPr>
        <w:t>ux femmes et filles handicapées</w:t>
      </w:r>
      <w:r w:rsidR="00423BB4">
        <w:rPr>
          <w:b/>
        </w:rPr>
        <w:t>.</w:t>
      </w:r>
      <w:r w:rsidR="00423BB4" w:rsidRPr="00423BB4">
        <w:t xml:space="preserve"> Il s'agit </w:t>
      </w:r>
      <w:r w:rsidR="00CD30BB">
        <w:t>notamment</w:t>
      </w:r>
      <w:r w:rsidR="00CD30BB" w:rsidRPr="00423BB4">
        <w:t xml:space="preserve"> </w:t>
      </w:r>
      <w:r w:rsidR="00423BB4" w:rsidRPr="00423BB4">
        <w:t>d'aborder</w:t>
      </w:r>
      <w:r w:rsidR="00423BB4">
        <w:t xml:space="preserve"> </w:t>
      </w:r>
      <w:r w:rsidR="00423BB4" w:rsidRPr="00423BB4">
        <w:t xml:space="preserve">les inégalités entre les </w:t>
      </w:r>
      <w:r w:rsidR="00423BB4">
        <w:t>genres</w:t>
      </w:r>
      <w:r w:rsidR="00423BB4" w:rsidRPr="00423BB4">
        <w:t xml:space="preserve"> et les stéréotypes validistes en tant que causes profondes de la violence à l'égard des femmes </w:t>
      </w:r>
      <w:r w:rsidR="00CD30BB">
        <w:t xml:space="preserve">et filles </w:t>
      </w:r>
      <w:r w:rsidR="00423BB4" w:rsidRPr="00423BB4">
        <w:t>handicapées</w:t>
      </w:r>
      <w:r w:rsidR="00423BB4">
        <w:t xml:space="preserve"> dans toute leur diversité</w:t>
      </w:r>
      <w:r w:rsidR="00CD30BB">
        <w:t>. Par ailleurs cela implique de repenser l</w:t>
      </w:r>
      <w:r w:rsidR="00CD30BB">
        <w:rPr>
          <w:rStyle w:val="ui-provider"/>
        </w:rPr>
        <w:t>es pratiques de travail et les relations partenariales</w:t>
      </w:r>
      <w:r w:rsidR="00CD30BB" w:rsidRPr="00423BB4">
        <w:t xml:space="preserve"> </w:t>
      </w:r>
      <w:r w:rsidR="00423BB4" w:rsidRPr="00423BB4">
        <w:t>entre MIW et les organisations dirigées par des femmes basées dans les pays du Sud afin d</w:t>
      </w:r>
      <w:r w:rsidR="00423BB4">
        <w:t xml:space="preserve">e </w:t>
      </w:r>
      <w:r w:rsidR="00423BB4" w:rsidRPr="00423BB4">
        <w:t>parvenir à une approche de partenariat égalitaire.</w:t>
      </w:r>
    </w:p>
    <w:p w14:paraId="5033ECD6" w14:textId="372BC678" w:rsidR="00F63151" w:rsidRPr="00921305" w:rsidRDefault="00F63151" w:rsidP="00F63151">
      <w:pPr>
        <w:spacing w:before="120"/>
        <w:ind w:left="709"/>
        <w:rPr>
          <w:b/>
          <w:bCs/>
          <w:color w:val="00B2A9"/>
        </w:rPr>
      </w:pPr>
      <w:r w:rsidRPr="00921305">
        <w:rPr>
          <w:noProof/>
          <w:lang w:eastAsia="fr-FR"/>
        </w:rPr>
        <mc:AlternateContent>
          <mc:Choice Requires="wps">
            <w:drawing>
              <wp:inline distT="0" distB="0" distL="0" distR="0" wp14:anchorId="4A4D8E62" wp14:editId="1B23BBB3">
                <wp:extent cx="5200650" cy="0"/>
                <wp:effectExtent l="0" t="0" r="0" b="0"/>
                <wp:docPr id="7" name="Connecteur droit 7" descr="Début d'encart"/>
                <wp:cNvGraphicFramePr/>
                <a:graphic xmlns:a="http://schemas.openxmlformats.org/drawingml/2006/main">
                  <a:graphicData uri="http://schemas.microsoft.com/office/word/2010/wordprocessingShape">
                    <wps:wsp>
                      <wps:cNvCnPr/>
                      <wps:spPr>
                        <a:xfrm>
                          <a:off x="0" y="0"/>
                          <a:ext cx="5200650" cy="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w14:anchorId="25A19517" id="Connecteur droit 7" o:spid="_x0000_s1026" alt="Début d'encart" style="visibility:visible;mso-wrap-style:square;mso-left-percent:-10001;mso-top-percent:-10001;mso-position-horizontal:absolute;mso-position-horizontal-relative:char;mso-position-vertical:absolute;mso-position-vertical-relative:line;mso-left-percent:-10001;mso-top-percent:-10001" from="0,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" strokecolor="#ed7d31 [3205]" strokeweight=".5pt">
                <v:stroke joinstyle="miter"/>
                <w10:anchorlock/>
              </v:lin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3824"/>
        <w:gridCol w:w="4583"/>
      </w:tblGrid>
      <w:tr w:rsidR="00A847D0" w:rsidRPr="00E53780" w14:paraId="79E0C3A2" w14:textId="3E8F9E8F" w:rsidTr="00423BB4">
        <w:tc>
          <w:tcPr>
            <w:tcW w:w="956" w:type="dxa"/>
            <w:vAlign w:val="center"/>
          </w:tcPr>
          <w:p w14:paraId="73119B97" w14:textId="77777777" w:rsidR="00A847D0" w:rsidRDefault="00A847D0" w:rsidP="00365FE8">
            <w:pPr>
              <w:ind w:left="316" w:hanging="411"/>
              <w:rPr>
                <w:i/>
                <w:iCs/>
              </w:rPr>
            </w:pPr>
            <w:r>
              <w:rPr>
                <w:noProof/>
              </w:rPr>
              <w:drawing>
                <wp:inline distT="0" distB="0" distL="0" distR="0" wp14:anchorId="5724447E" wp14:editId="256481E6">
                  <wp:extent cx="360000" cy="360000"/>
                  <wp:effectExtent l="0" t="0" r="2540" b="2540"/>
                  <wp:docPr id="3" name="Image 3" title="Icon laptop and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ptop-Tablet-icon.png"/>
                          <pic:cNvPicPr/>
                        </pic:nvPicPr>
                        <pic:blipFill>
                          <a:blip r:embed="rId21" cstate="screen">
                            <a:extLst>
                              <a:ext uri="{28A0092B-C50C-407E-A947-70E740481C1C}">
                                <a14:useLocalDpi xmlns:a14="http://schemas.microsoft.com/office/drawing/2010/main"/>
                              </a:ext>
                            </a:extLst>
                          </a:blip>
                          <a:stretch>
                            <a:fillRect/>
                          </a:stretch>
                        </pic:blipFill>
                        <pic:spPr>
                          <a:xfrm>
                            <a:off x="0" y="0"/>
                            <a:ext cx="360000" cy="360000"/>
                          </a:xfrm>
                          <a:prstGeom prst="rect">
                            <a:avLst/>
                          </a:prstGeom>
                        </pic:spPr>
                      </pic:pic>
                    </a:graphicData>
                  </a:graphic>
                </wp:inline>
              </w:drawing>
            </w:r>
          </w:p>
        </w:tc>
        <w:tc>
          <w:tcPr>
            <w:tcW w:w="3883" w:type="dxa"/>
          </w:tcPr>
          <w:p w14:paraId="058AE57F" w14:textId="288C2ECE" w:rsidR="00A847D0" w:rsidRPr="00C43CE4" w:rsidRDefault="00A847D0" w:rsidP="00365FE8">
            <w:pPr>
              <w:spacing w:before="240" w:line="300" w:lineRule="atLeast"/>
              <w:ind w:left="34"/>
              <w:rPr>
                <w:i/>
                <w:iCs/>
                <w:szCs w:val="21"/>
                <w:lang w:val="en-US"/>
              </w:rPr>
            </w:pPr>
            <w:r w:rsidRPr="00C43CE4">
              <w:rPr>
                <w:b/>
                <w:szCs w:val="21"/>
                <w:lang w:val="en-US"/>
              </w:rPr>
              <w:t>Email</w:t>
            </w:r>
            <w:r w:rsidRPr="00C43CE4">
              <w:rPr>
                <w:szCs w:val="21"/>
                <w:lang w:val="en-US"/>
              </w:rPr>
              <w:t xml:space="preserve">: </w:t>
            </w:r>
            <w:r w:rsidRPr="0083658E">
              <w:rPr>
                <w:szCs w:val="21"/>
                <w:lang w:val="en-US"/>
              </w:rPr>
              <w:t>s.pecourt@hi.org</w:t>
            </w:r>
          </w:p>
          <w:p w14:paraId="3C92F382" w14:textId="77777777" w:rsidR="00A847D0" w:rsidRPr="00C43CE4" w:rsidRDefault="00A847D0" w:rsidP="009477DB">
            <w:pPr>
              <w:spacing w:line="300" w:lineRule="atLeast"/>
              <w:ind w:left="33"/>
              <w:rPr>
                <w:szCs w:val="21"/>
                <w:lang w:val="en-US"/>
              </w:rPr>
            </w:pPr>
            <w:r w:rsidRPr="00C43CE4">
              <w:rPr>
                <w:b/>
                <w:szCs w:val="21"/>
                <w:lang w:val="en-US"/>
              </w:rPr>
              <w:t>Web</w:t>
            </w:r>
            <w:r w:rsidRPr="00C43CE4">
              <w:rPr>
                <w:szCs w:val="21"/>
                <w:lang w:val="en-US"/>
              </w:rPr>
              <w:t>: makingitwork.hi.org</w:t>
            </w:r>
          </w:p>
          <w:p w14:paraId="19514B16" w14:textId="77777777" w:rsidR="00A847D0" w:rsidRPr="00C43CE4" w:rsidRDefault="00A847D0" w:rsidP="009477DB">
            <w:pPr>
              <w:spacing w:line="300" w:lineRule="atLeast"/>
              <w:ind w:left="33"/>
              <w:rPr>
                <w:szCs w:val="21"/>
                <w:lang w:val="en-US"/>
              </w:rPr>
            </w:pPr>
            <w:r w:rsidRPr="00C43CE4">
              <w:rPr>
                <w:b/>
                <w:szCs w:val="21"/>
                <w:lang w:val="en-US"/>
              </w:rPr>
              <w:t>Facebook</w:t>
            </w:r>
            <w:r w:rsidRPr="00C43CE4">
              <w:rPr>
                <w:szCs w:val="21"/>
                <w:lang w:val="en-US"/>
              </w:rPr>
              <w:t>: @MakingItWorkCRPD</w:t>
            </w:r>
          </w:p>
          <w:p w14:paraId="5EBA5565" w14:textId="56519B55" w:rsidR="00A847D0" w:rsidRDefault="00A847D0" w:rsidP="009477DB">
            <w:pPr>
              <w:spacing w:line="300" w:lineRule="atLeast"/>
              <w:ind w:left="34"/>
              <w:rPr>
                <w:szCs w:val="21"/>
                <w:lang w:val="en-US"/>
              </w:rPr>
            </w:pPr>
            <w:r w:rsidRPr="00C43CE4">
              <w:rPr>
                <w:b/>
                <w:szCs w:val="21"/>
                <w:lang w:val="en-US"/>
              </w:rPr>
              <w:t>LinkedIn</w:t>
            </w:r>
            <w:r w:rsidRPr="00C43CE4">
              <w:rPr>
                <w:szCs w:val="21"/>
                <w:lang w:val="en-US"/>
              </w:rPr>
              <w:t>:</w:t>
            </w:r>
            <w:r>
              <w:rPr>
                <w:szCs w:val="21"/>
                <w:lang w:val="en-US"/>
              </w:rPr>
              <w:t xml:space="preserve"> </w:t>
            </w:r>
            <w:r w:rsidRPr="00A90B99">
              <w:rPr>
                <w:lang w:val="en-US"/>
              </w:rPr>
              <w:t>www.linkedin.com/company/makingitwork-gender-disability</w:t>
            </w:r>
          </w:p>
          <w:p w14:paraId="2D6AEBB1" w14:textId="20BE945A" w:rsidR="00A847D0" w:rsidRPr="00D42F8A" w:rsidRDefault="00A847D0" w:rsidP="009477DB">
            <w:pPr>
              <w:spacing w:line="300" w:lineRule="atLeast"/>
              <w:ind w:left="34"/>
              <w:rPr>
                <w:lang w:val="en-US"/>
              </w:rPr>
            </w:pPr>
            <w:r>
              <w:rPr>
                <w:b/>
                <w:szCs w:val="21"/>
                <w:lang w:val="en-US"/>
              </w:rPr>
              <w:t>Youtube</w:t>
            </w:r>
            <w:r w:rsidRPr="00F63151">
              <w:rPr>
                <w:lang w:val="en-US"/>
              </w:rPr>
              <w:t>:</w:t>
            </w:r>
            <w:r>
              <w:rPr>
                <w:lang w:val="en-US"/>
              </w:rPr>
              <w:t xml:space="preserve"> </w:t>
            </w:r>
            <w:r w:rsidRPr="00D42F8A">
              <w:rPr>
                <w:lang w:val="en-US"/>
              </w:rPr>
              <w:t>https://bit.ly/M</w:t>
            </w:r>
            <w:r>
              <w:rPr>
                <w:lang w:val="en-US"/>
              </w:rPr>
              <w:t>IW-Youtube</w:t>
            </w:r>
          </w:p>
        </w:tc>
        <w:tc>
          <w:tcPr>
            <w:tcW w:w="4233" w:type="dxa"/>
          </w:tcPr>
          <w:p w14:paraId="26C2A71F" w14:textId="29A55EF0" w:rsidR="00A847D0" w:rsidRPr="00E53780" w:rsidRDefault="00E53780" w:rsidP="00E53780">
            <w:pPr>
              <w:spacing w:line="300" w:lineRule="atLeast"/>
              <w:ind w:left="33" w:right="-114" w:hanging="68"/>
              <w:rPr>
                <w:b/>
                <w:szCs w:val="21"/>
                <w:lang w:val="en-US"/>
              </w:rPr>
            </w:pPr>
            <w:r>
              <w:rPr>
                <w:b/>
                <w:noProof/>
                <w:szCs w:val="21"/>
                <w:lang w:val="en-US"/>
              </w:rPr>
              <w:drawing>
                <wp:inline distT="0" distB="0" distL="0" distR="0" wp14:anchorId="5BE43B93" wp14:editId="71088162">
                  <wp:extent cx="2944761" cy="2508956"/>
                  <wp:effectExtent l="0" t="0" r="8255" b="5715"/>
                  <wp:docPr id="17279666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11406" t="1666" r="23681"/>
                          <a:stretch/>
                        </pic:blipFill>
                        <pic:spPr bwMode="auto">
                          <a:xfrm>
                            <a:off x="0" y="0"/>
                            <a:ext cx="2944761" cy="25089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D3A820" w14:textId="77777777" w:rsidR="001114BB" w:rsidRPr="00E53780" w:rsidRDefault="001114BB" w:rsidP="00E53780">
      <w:pPr>
        <w:rPr>
          <w:sz w:val="4"/>
          <w:szCs w:val="4"/>
          <w:lang w:val="en-US"/>
        </w:rPr>
      </w:pPr>
    </w:p>
    <w:sectPr w:rsidR="001114BB" w:rsidRPr="00E53780" w:rsidSect="002D770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162B" w14:textId="77777777" w:rsidR="00123C35" w:rsidRDefault="00123C35" w:rsidP="008E1599">
      <w:pPr>
        <w:spacing w:after="0" w:line="240" w:lineRule="auto"/>
      </w:pPr>
      <w:r>
        <w:separator/>
      </w:r>
    </w:p>
  </w:endnote>
  <w:endnote w:type="continuationSeparator" w:id="0">
    <w:p w14:paraId="1FC3789C" w14:textId="77777777" w:rsidR="00123C35" w:rsidRDefault="00123C35" w:rsidP="008E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CD2E" w14:textId="1860FE4E" w:rsidR="00365FE8" w:rsidRDefault="00365FE8" w:rsidP="00365FE8">
    <w:pPr>
      <w:pStyle w:val="Pieddepage"/>
      <w:tabs>
        <w:tab w:val="clear" w:pos="4536"/>
        <w:tab w:val="center" w:pos="8222"/>
      </w:tabs>
    </w:pPr>
    <w:r>
      <w:t>Le projet MIW en bref – Juillet 2023</w:t>
    </w:r>
    <w:r>
      <w:tab/>
      <w:t xml:space="preserv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7B59" w14:textId="77777777" w:rsidR="00123C35" w:rsidRDefault="00123C35" w:rsidP="008E1599">
      <w:pPr>
        <w:spacing w:after="0" w:line="240" w:lineRule="auto"/>
      </w:pPr>
      <w:r>
        <w:separator/>
      </w:r>
    </w:p>
  </w:footnote>
  <w:footnote w:type="continuationSeparator" w:id="0">
    <w:p w14:paraId="1597D64D" w14:textId="77777777" w:rsidR="00123C35" w:rsidRDefault="00123C35" w:rsidP="008E1599">
      <w:pPr>
        <w:spacing w:after="0" w:line="240" w:lineRule="auto"/>
      </w:pPr>
      <w:r>
        <w:continuationSeparator/>
      </w:r>
    </w:p>
  </w:footnote>
  <w:footnote w:id="1">
    <w:p w14:paraId="30754EEA" w14:textId="77777777" w:rsidR="0091179A" w:rsidRDefault="0091179A">
      <w:pPr>
        <w:pStyle w:val="Notedebasdepage"/>
      </w:pPr>
      <w:r>
        <w:rPr>
          <w:rStyle w:val="Appelnotedebasdep"/>
        </w:rPr>
        <w:footnoteRef/>
      </w:r>
      <w:r>
        <w:t xml:space="preserve"> </w:t>
      </w:r>
      <w:hyperlink r:id="rId1" w:history="1">
        <w:r w:rsidRPr="00E952BD">
          <w:rPr>
            <w:rStyle w:val="Lienhypertexte"/>
          </w:rPr>
          <w:t>https://www.makingitwork-crpd.org/fr/miw-guide-pratique-lintersectionnalite-en-action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24D3" w14:textId="77777777" w:rsidR="008E1599" w:rsidRDefault="008E1599" w:rsidP="008E1599">
    <w:pPr>
      <w:pStyle w:val="En-tte"/>
      <w:jc w:val="center"/>
    </w:pPr>
    <w:r>
      <w:rPr>
        <w:noProof/>
        <w:lang w:eastAsia="fr-FR"/>
      </w:rPr>
      <w:drawing>
        <wp:inline distT="0" distB="0" distL="0" distR="0" wp14:anchorId="639A7EE2" wp14:editId="39028356">
          <wp:extent cx="2667000" cy="638528"/>
          <wp:effectExtent l="0" t="0" r="0" b="9525"/>
          <wp:docPr id="1" name="Image 1" descr="Logo Humanité et Inclusion, ressemblant à une main disant un &quot;Salut !&quot; et Logo Making It Work, avec le nom 'Making It Work' et 2 engrenages" title="Logo HI et logo M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LogosHI+MIW.JPG"/>
                  <pic:cNvPicPr/>
                </pic:nvPicPr>
                <pic:blipFill>
                  <a:blip r:embed="rId1">
                    <a:extLst>
                      <a:ext uri="{28A0092B-C50C-407E-A947-70E740481C1C}">
                        <a14:useLocalDpi xmlns:a14="http://schemas.microsoft.com/office/drawing/2010/main" val="0"/>
                      </a:ext>
                    </a:extLst>
                  </a:blip>
                  <a:stretch>
                    <a:fillRect/>
                  </a:stretch>
                </pic:blipFill>
                <pic:spPr>
                  <a:xfrm>
                    <a:off x="0" y="0"/>
                    <a:ext cx="2696325" cy="6455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E43CC"/>
    <w:multiLevelType w:val="hybridMultilevel"/>
    <w:tmpl w:val="207A440E"/>
    <w:lvl w:ilvl="0" w:tplc="51D8391C">
      <w:start w:val="1"/>
      <w:numFmt w:val="bullet"/>
      <w:lvlText w:val=""/>
      <w:lvlJc w:val="left"/>
      <w:pPr>
        <w:ind w:left="720" w:hanging="360"/>
      </w:pPr>
      <w:rPr>
        <w:rFonts w:ascii="Wingdings" w:hAnsi="Wingdings"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F585D"/>
    <w:multiLevelType w:val="hybridMultilevel"/>
    <w:tmpl w:val="5F92F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2107339">
    <w:abstractNumId w:val="1"/>
  </w:num>
  <w:num w:numId="2" w16cid:durableId="18446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EC"/>
    <w:rsid w:val="000D5008"/>
    <w:rsid w:val="001114BB"/>
    <w:rsid w:val="00123C35"/>
    <w:rsid w:val="00130B91"/>
    <w:rsid w:val="001F429F"/>
    <w:rsid w:val="001F4516"/>
    <w:rsid w:val="00226570"/>
    <w:rsid w:val="002D7701"/>
    <w:rsid w:val="00365FE8"/>
    <w:rsid w:val="00370E70"/>
    <w:rsid w:val="003E67A3"/>
    <w:rsid w:val="00423BB4"/>
    <w:rsid w:val="00450057"/>
    <w:rsid w:val="004878EF"/>
    <w:rsid w:val="004F4A10"/>
    <w:rsid w:val="00581447"/>
    <w:rsid w:val="005A46A4"/>
    <w:rsid w:val="00612FF9"/>
    <w:rsid w:val="0083658E"/>
    <w:rsid w:val="00873639"/>
    <w:rsid w:val="008D2DEB"/>
    <w:rsid w:val="008E1599"/>
    <w:rsid w:val="0091179A"/>
    <w:rsid w:val="00955B8F"/>
    <w:rsid w:val="0098397E"/>
    <w:rsid w:val="009E1E5C"/>
    <w:rsid w:val="00A34199"/>
    <w:rsid w:val="00A847D0"/>
    <w:rsid w:val="00A90B99"/>
    <w:rsid w:val="00AA1513"/>
    <w:rsid w:val="00B71EBF"/>
    <w:rsid w:val="00BC0A07"/>
    <w:rsid w:val="00C333B8"/>
    <w:rsid w:val="00C675F9"/>
    <w:rsid w:val="00CD30BB"/>
    <w:rsid w:val="00D066E1"/>
    <w:rsid w:val="00D42F8A"/>
    <w:rsid w:val="00D84AED"/>
    <w:rsid w:val="00E5319A"/>
    <w:rsid w:val="00E53780"/>
    <w:rsid w:val="00E87911"/>
    <w:rsid w:val="00F31CEC"/>
    <w:rsid w:val="00F63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E5AA05"/>
  <w15:chartTrackingRefBased/>
  <w15:docId w15:val="{D75DCD21-5E7F-4557-A077-EAC9800D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B8"/>
    <w:rPr>
      <w:sz w:val="21"/>
    </w:rPr>
  </w:style>
  <w:style w:type="paragraph" w:styleId="Titre1">
    <w:name w:val="heading 1"/>
    <w:basedOn w:val="Normal"/>
    <w:next w:val="Normal"/>
    <w:link w:val="Titre1Car"/>
    <w:uiPriority w:val="9"/>
    <w:qFormat/>
    <w:rsid w:val="002D7701"/>
    <w:pPr>
      <w:keepNext/>
      <w:keepLines/>
      <w:spacing w:before="240" w:after="0"/>
      <w:outlineLvl w:val="0"/>
    </w:pPr>
    <w:rPr>
      <w:rFonts w:asciiTheme="majorHAnsi" w:eastAsiaTheme="majorEastAsia" w:hAnsiTheme="majorHAnsi" w:cstheme="majorBidi"/>
      <w:b/>
      <w:bCs/>
      <w:color w:val="2F5496" w:themeColor="accent5"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1CEC"/>
    <w:pPr>
      <w:autoSpaceDE w:val="0"/>
      <w:autoSpaceDN w:val="0"/>
      <w:adjustRightInd w:val="0"/>
      <w:spacing w:after="0" w:line="240" w:lineRule="auto"/>
    </w:pPr>
    <w:rPr>
      <w:rFonts w:ascii="Nunito" w:hAnsi="Nunito" w:cs="Nunito"/>
      <w:color w:val="000000"/>
      <w:sz w:val="24"/>
      <w:szCs w:val="24"/>
    </w:rPr>
  </w:style>
  <w:style w:type="paragraph" w:customStyle="1" w:styleId="Pa3">
    <w:name w:val="Pa3"/>
    <w:basedOn w:val="Default"/>
    <w:next w:val="Default"/>
    <w:uiPriority w:val="99"/>
    <w:rsid w:val="004F4A10"/>
    <w:pPr>
      <w:spacing w:line="201" w:lineRule="atLeast"/>
    </w:pPr>
    <w:rPr>
      <w:rFonts w:cstheme="minorBidi"/>
      <w:color w:val="auto"/>
    </w:rPr>
  </w:style>
  <w:style w:type="character" w:styleId="lev">
    <w:name w:val="Strong"/>
    <w:basedOn w:val="Policepardfaut"/>
    <w:uiPriority w:val="22"/>
    <w:qFormat/>
    <w:rsid w:val="003E67A3"/>
    <w:rPr>
      <w:b/>
      <w:bCs/>
    </w:rPr>
  </w:style>
  <w:style w:type="paragraph" w:styleId="Sansinterligne">
    <w:name w:val="No Spacing"/>
    <w:uiPriority w:val="1"/>
    <w:qFormat/>
    <w:rsid w:val="00C333B8"/>
    <w:pPr>
      <w:spacing w:after="0" w:line="240" w:lineRule="auto"/>
    </w:pPr>
    <w:rPr>
      <w:sz w:val="21"/>
    </w:rPr>
  </w:style>
  <w:style w:type="character" w:customStyle="1" w:styleId="Titre1Car">
    <w:name w:val="Titre 1 Car"/>
    <w:basedOn w:val="Policepardfaut"/>
    <w:link w:val="Titre1"/>
    <w:uiPriority w:val="9"/>
    <w:rsid w:val="002D7701"/>
    <w:rPr>
      <w:rFonts w:asciiTheme="majorHAnsi" w:eastAsiaTheme="majorEastAsia" w:hAnsiTheme="majorHAnsi" w:cstheme="majorBidi"/>
      <w:b/>
      <w:bCs/>
      <w:color w:val="2F5496" w:themeColor="accent5" w:themeShade="BF"/>
      <w:sz w:val="32"/>
      <w:szCs w:val="32"/>
    </w:rPr>
  </w:style>
  <w:style w:type="paragraph" w:styleId="Titre">
    <w:name w:val="Title"/>
    <w:basedOn w:val="Normal"/>
    <w:next w:val="Normal"/>
    <w:link w:val="TitreCar"/>
    <w:uiPriority w:val="10"/>
    <w:qFormat/>
    <w:rsid w:val="008E15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1599"/>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8E1599"/>
    <w:pPr>
      <w:tabs>
        <w:tab w:val="center" w:pos="4536"/>
        <w:tab w:val="right" w:pos="9072"/>
      </w:tabs>
      <w:spacing w:after="0" w:line="240" w:lineRule="auto"/>
    </w:pPr>
  </w:style>
  <w:style w:type="character" w:customStyle="1" w:styleId="En-tteCar">
    <w:name w:val="En-tête Car"/>
    <w:basedOn w:val="Policepardfaut"/>
    <w:link w:val="En-tte"/>
    <w:uiPriority w:val="99"/>
    <w:rsid w:val="008E1599"/>
    <w:rPr>
      <w:sz w:val="21"/>
    </w:rPr>
  </w:style>
  <w:style w:type="paragraph" w:styleId="Pieddepage">
    <w:name w:val="footer"/>
    <w:basedOn w:val="Normal"/>
    <w:link w:val="PieddepageCar"/>
    <w:uiPriority w:val="99"/>
    <w:unhideWhenUsed/>
    <w:rsid w:val="008E1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1599"/>
    <w:rPr>
      <w:sz w:val="21"/>
    </w:rPr>
  </w:style>
  <w:style w:type="paragraph" w:styleId="Paragraphedeliste">
    <w:name w:val="List Paragraph"/>
    <w:basedOn w:val="Normal"/>
    <w:uiPriority w:val="34"/>
    <w:qFormat/>
    <w:rsid w:val="009E1E5C"/>
    <w:pPr>
      <w:ind w:left="720"/>
      <w:contextualSpacing/>
    </w:pPr>
  </w:style>
  <w:style w:type="character" w:styleId="Lienhypertexte">
    <w:name w:val="Hyperlink"/>
    <w:basedOn w:val="Policepardfaut"/>
    <w:uiPriority w:val="99"/>
    <w:unhideWhenUsed/>
    <w:rsid w:val="0091179A"/>
    <w:rPr>
      <w:color w:val="0563C1" w:themeColor="hyperlink"/>
      <w:u w:val="single"/>
    </w:rPr>
  </w:style>
  <w:style w:type="paragraph" w:styleId="Notedebasdepage">
    <w:name w:val="footnote text"/>
    <w:basedOn w:val="Normal"/>
    <w:link w:val="NotedebasdepageCar"/>
    <w:uiPriority w:val="99"/>
    <w:semiHidden/>
    <w:unhideWhenUsed/>
    <w:rsid w:val="009117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179A"/>
    <w:rPr>
      <w:sz w:val="20"/>
      <w:szCs w:val="20"/>
    </w:rPr>
  </w:style>
  <w:style w:type="character" w:styleId="Appelnotedebasdep">
    <w:name w:val="footnote reference"/>
    <w:basedOn w:val="Policepardfaut"/>
    <w:uiPriority w:val="99"/>
    <w:semiHidden/>
    <w:unhideWhenUsed/>
    <w:rsid w:val="0091179A"/>
    <w:rPr>
      <w:vertAlign w:val="superscript"/>
    </w:rPr>
  </w:style>
  <w:style w:type="table" w:styleId="Grilledutableau">
    <w:name w:val="Table Grid"/>
    <w:basedOn w:val="TableauNormal"/>
    <w:uiPriority w:val="59"/>
    <w:rsid w:val="00F63151"/>
    <w:pPr>
      <w:spacing w:after="0" w:line="240" w:lineRule="auto"/>
    </w:pPr>
    <w:rPr>
      <w:rFonts w:ascii="Calibri" w:eastAsia="Calibri" w:hAnsi="Calibri" w:cs="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81447"/>
    <w:rPr>
      <w:sz w:val="16"/>
      <w:szCs w:val="16"/>
    </w:rPr>
  </w:style>
  <w:style w:type="paragraph" w:styleId="Commentaire">
    <w:name w:val="annotation text"/>
    <w:basedOn w:val="Normal"/>
    <w:link w:val="CommentaireCar"/>
    <w:uiPriority w:val="99"/>
    <w:semiHidden/>
    <w:unhideWhenUsed/>
    <w:rsid w:val="00581447"/>
    <w:pPr>
      <w:spacing w:line="240" w:lineRule="auto"/>
    </w:pPr>
    <w:rPr>
      <w:sz w:val="20"/>
      <w:szCs w:val="20"/>
    </w:rPr>
  </w:style>
  <w:style w:type="character" w:customStyle="1" w:styleId="CommentaireCar">
    <w:name w:val="Commentaire Car"/>
    <w:basedOn w:val="Policepardfaut"/>
    <w:link w:val="Commentaire"/>
    <w:uiPriority w:val="99"/>
    <w:semiHidden/>
    <w:rsid w:val="00581447"/>
    <w:rPr>
      <w:sz w:val="20"/>
      <w:szCs w:val="20"/>
    </w:rPr>
  </w:style>
  <w:style w:type="paragraph" w:styleId="Objetducommentaire">
    <w:name w:val="annotation subject"/>
    <w:basedOn w:val="Commentaire"/>
    <w:next w:val="Commentaire"/>
    <w:link w:val="ObjetducommentaireCar"/>
    <w:uiPriority w:val="99"/>
    <w:semiHidden/>
    <w:unhideWhenUsed/>
    <w:rsid w:val="00581447"/>
    <w:rPr>
      <w:b/>
      <w:bCs/>
    </w:rPr>
  </w:style>
  <w:style w:type="character" w:customStyle="1" w:styleId="ObjetducommentaireCar">
    <w:name w:val="Objet du commentaire Car"/>
    <w:basedOn w:val="CommentaireCar"/>
    <w:link w:val="Objetducommentaire"/>
    <w:uiPriority w:val="99"/>
    <w:semiHidden/>
    <w:rsid w:val="00581447"/>
    <w:rPr>
      <w:b/>
      <w:bCs/>
      <w:sz w:val="20"/>
      <w:szCs w:val="20"/>
    </w:rPr>
  </w:style>
  <w:style w:type="paragraph" w:styleId="Textedebulles">
    <w:name w:val="Balloon Text"/>
    <w:basedOn w:val="Normal"/>
    <w:link w:val="TextedebullesCar"/>
    <w:uiPriority w:val="99"/>
    <w:semiHidden/>
    <w:unhideWhenUsed/>
    <w:rsid w:val="005814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447"/>
    <w:rPr>
      <w:rFonts w:ascii="Segoe UI" w:hAnsi="Segoe UI" w:cs="Segoe UI"/>
      <w:sz w:val="18"/>
      <w:szCs w:val="18"/>
    </w:rPr>
  </w:style>
  <w:style w:type="paragraph" w:styleId="Rvision">
    <w:name w:val="Revision"/>
    <w:hidden/>
    <w:uiPriority w:val="99"/>
    <w:semiHidden/>
    <w:rsid w:val="000D5008"/>
    <w:pPr>
      <w:spacing w:after="0" w:line="240" w:lineRule="auto"/>
    </w:pPr>
    <w:rPr>
      <w:sz w:val="21"/>
    </w:rPr>
  </w:style>
  <w:style w:type="character" w:styleId="Mentionnonrsolue">
    <w:name w:val="Unresolved Mention"/>
    <w:basedOn w:val="Policepardfaut"/>
    <w:uiPriority w:val="99"/>
    <w:semiHidden/>
    <w:unhideWhenUsed/>
    <w:rsid w:val="004878EF"/>
    <w:rPr>
      <w:color w:val="605E5C"/>
      <w:shd w:val="clear" w:color="auto" w:fill="E1DFDD"/>
    </w:rPr>
  </w:style>
  <w:style w:type="paragraph" w:styleId="NormalWeb">
    <w:name w:val="Normal (Web)"/>
    <w:basedOn w:val="Normal"/>
    <w:uiPriority w:val="99"/>
    <w:semiHidden/>
    <w:unhideWhenUsed/>
    <w:rsid w:val="004500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t-core-attributed-string--link-inherit-color">
    <w:name w:val="yt-core-attributed-string--link-inherit-color"/>
    <w:basedOn w:val="Policepardfaut"/>
    <w:rsid w:val="00450057"/>
  </w:style>
  <w:style w:type="character" w:customStyle="1" w:styleId="ui-provider">
    <w:name w:val="ui-provider"/>
    <w:basedOn w:val="Policepardfaut"/>
    <w:rsid w:val="00CD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kingitwork-crpd.org/sites/default/files/2022-12/Rapport%20MIW-LeadershipFemmesHandicapees-2022-VF.pdf" TargetMode="External"/><Relationship Id="rId18" Type="http://schemas.openxmlformats.org/officeDocument/2006/relationships/hyperlink" Target="https://www.makingitwork-crpd.org/index.php/news/miw-cedaw-committee-22-feb-2023"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makingitwork-crpd.org/sites/default/files/2022-12/Rapport%20MIW-LeadershipFemmesHandicapees-2022-VF.doc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kingitwork-crpd.org/sites/default/files/2022-12/Rapport%20MIW-LeadershipFemmesHandicapees-2022-VF.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MIW-Youtu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makingitwork-crpd.org/fr/miw-guide-pratique-lintersectionnalite-en-a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38354e1-57df-454b-8e3c-c15f1cea105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6B4C9B1A4CDA4986FF088F6BEC1977" ma:contentTypeVersion="15" ma:contentTypeDescription="Crée un document." ma:contentTypeScope="" ma:versionID="79de0efa918642f84e06f9a2f0de6aa7">
  <xsd:schema xmlns:xsd="http://www.w3.org/2001/XMLSchema" xmlns:xs="http://www.w3.org/2001/XMLSchema" xmlns:p="http://schemas.microsoft.com/office/2006/metadata/properties" xmlns:ns3="038354e1-57df-454b-8e3c-c15f1cea1051" xmlns:ns4="24b9a167-b3e0-4c7d-8a14-aa4de4ded54b" targetNamespace="http://schemas.microsoft.com/office/2006/metadata/properties" ma:root="true" ma:fieldsID="85a86e05e828ac67cfac34e3fbc32bc6" ns3:_="" ns4:_="">
    <xsd:import namespace="038354e1-57df-454b-8e3c-c15f1cea1051"/>
    <xsd:import namespace="24b9a167-b3e0-4c7d-8a14-aa4de4ded5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354e1-57df-454b-8e3c-c15f1cea1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9a167-b3e0-4c7d-8a14-aa4de4ded54b"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B9ACD-1733-498D-8E1D-7799869C2BE8}">
  <ds:schemaRefs>
    <ds:schemaRef ds:uri="http://schemas.microsoft.com/office/infopath/2007/PartnerControls"/>
    <ds:schemaRef ds:uri="038354e1-57df-454b-8e3c-c15f1cea1051"/>
    <ds:schemaRef ds:uri="http://purl.org/dc/elements/1.1/"/>
    <ds:schemaRef ds:uri="http://schemas.microsoft.com/office/2006/metadata/properties"/>
    <ds:schemaRef ds:uri="24b9a167-b3e0-4c7d-8a14-aa4de4ded54b"/>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942824D8-3305-42EE-B707-A360EB6256E0}">
  <ds:schemaRefs>
    <ds:schemaRef ds:uri="http://schemas.openxmlformats.org/officeDocument/2006/bibliography"/>
  </ds:schemaRefs>
</ds:datastoreItem>
</file>

<file path=customXml/itemProps3.xml><?xml version="1.0" encoding="utf-8"?>
<ds:datastoreItem xmlns:ds="http://schemas.openxmlformats.org/officeDocument/2006/customXml" ds:itemID="{6EFC35BA-932D-4BEF-AEA5-DDC855609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354e1-57df-454b-8e3c-c15f1cea1051"/>
    <ds:schemaRef ds:uri="24b9a167-b3e0-4c7d-8a14-aa4de4ded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D3D0F-1597-4FA9-AE9B-D4FE79E3A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672</Words>
  <Characters>3835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PECOURT</dc:creator>
  <cp:keywords/>
  <dc:description/>
  <cp:lastModifiedBy>Sophie PECOURT</cp:lastModifiedBy>
  <cp:revision>10</cp:revision>
  <dcterms:created xsi:type="dcterms:W3CDTF">2023-07-03T14:16:00Z</dcterms:created>
  <dcterms:modified xsi:type="dcterms:W3CDTF">2023-11-13T10:05:00Z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0x010100A46B4C9B1A4CDA4986FF088F6BEC1977</vt:lpwstr>
  </property>
</Properties>
</file>