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C971" w14:textId="1B633589" w:rsidR="00DA0F4C" w:rsidRDefault="00DA0F4C" w:rsidP="00DA0F4C">
      <w:pPr>
        <w:pStyle w:val="Titre"/>
        <w:jc w:val="center"/>
        <w:rPr>
          <w:b/>
          <w:sz w:val="36"/>
          <w:szCs w:val="36"/>
          <w:lang w:val="en-US"/>
        </w:rPr>
      </w:pPr>
      <w:r w:rsidRPr="00DA0F4C">
        <w:rPr>
          <w:b/>
          <w:sz w:val="36"/>
          <w:szCs w:val="36"/>
          <w:lang w:val="en-US"/>
        </w:rPr>
        <w:t xml:space="preserve">Making It Work </w:t>
      </w:r>
      <w:r>
        <w:rPr>
          <w:b/>
          <w:sz w:val="36"/>
          <w:szCs w:val="36"/>
          <w:lang w:val="en-US"/>
        </w:rPr>
        <w:t xml:space="preserve">Gender and Disability project </w:t>
      </w:r>
    </w:p>
    <w:p w14:paraId="34EB1319" w14:textId="7E17A630" w:rsidR="009D686B" w:rsidRPr="00DA0F4C" w:rsidRDefault="00DA0F4C" w:rsidP="00DA0F4C">
      <w:pPr>
        <w:pStyle w:val="Titre"/>
        <w:jc w:val="center"/>
        <w:rPr>
          <w:b/>
          <w:sz w:val="36"/>
          <w:szCs w:val="36"/>
          <w:lang w:val="en-US"/>
        </w:rPr>
      </w:pPr>
      <w:r>
        <w:rPr>
          <w:b/>
          <w:sz w:val="36"/>
          <w:szCs w:val="36"/>
          <w:lang w:val="en-US"/>
        </w:rPr>
        <w:t>Project Brief July 2023</w:t>
      </w:r>
      <w:r w:rsidR="00D066E1" w:rsidRPr="00DA0F4C">
        <w:rPr>
          <w:b/>
          <w:sz w:val="36"/>
          <w:szCs w:val="36"/>
          <w:lang w:val="en-US"/>
        </w:rPr>
        <w:t xml:space="preserve"> </w:t>
      </w:r>
    </w:p>
    <w:p w14:paraId="39487A74" w14:textId="77777777" w:rsidR="00F31CEC" w:rsidRPr="00DA0F4C" w:rsidRDefault="00F31CEC" w:rsidP="00F31CEC">
      <w:pPr>
        <w:pStyle w:val="Default"/>
        <w:rPr>
          <w:sz w:val="22"/>
          <w:szCs w:val="22"/>
          <w:lang w:val="en-US"/>
        </w:rPr>
      </w:pPr>
    </w:p>
    <w:p w14:paraId="2C8E7BD9" w14:textId="77777777" w:rsidR="009D686B" w:rsidRPr="00DA0F4C" w:rsidRDefault="00DA0F4C">
      <w:pPr>
        <w:rPr>
          <w:lang w:val="en-US"/>
        </w:rPr>
      </w:pPr>
      <w:r w:rsidRPr="00DA0F4C">
        <w:rPr>
          <w:lang w:val="en-US"/>
        </w:rPr>
        <w:t xml:space="preserve">The </w:t>
      </w:r>
      <w:r w:rsidR="0098397E" w:rsidRPr="00DA0F4C">
        <w:rPr>
          <w:lang w:val="en-US"/>
        </w:rPr>
        <w:t xml:space="preserve">Making It Work (MIW) </w:t>
      </w:r>
      <w:r w:rsidRPr="00DA0F4C">
        <w:rPr>
          <w:lang w:val="en-US"/>
        </w:rPr>
        <w:t>initiative</w:t>
      </w:r>
      <w:r w:rsidR="0098397E" w:rsidRPr="00DA0F4C">
        <w:rPr>
          <w:lang w:val="en-US"/>
        </w:rPr>
        <w:t xml:space="preserve">, conceived </w:t>
      </w:r>
      <w:r w:rsidRPr="00DA0F4C">
        <w:rPr>
          <w:lang w:val="en-US"/>
        </w:rPr>
        <w:t xml:space="preserve">in 2014 to support </w:t>
      </w:r>
      <w:r w:rsidR="0098397E" w:rsidRPr="00DA0F4C">
        <w:rPr>
          <w:lang w:val="en-US"/>
        </w:rPr>
        <w:t>the effective implementation of the Convention on the Rights of Persons with Disabilities (CRPD)</w:t>
      </w:r>
      <w:r w:rsidR="00226570" w:rsidRPr="00DA0F4C">
        <w:rPr>
          <w:lang w:val="en-US"/>
        </w:rPr>
        <w:t>,</w:t>
      </w:r>
      <w:r w:rsidR="0098397E" w:rsidRPr="00DA0F4C">
        <w:rPr>
          <w:lang w:val="en-US"/>
        </w:rPr>
        <w:t xml:space="preserve"> very quickly focused on highlighting and supporting actions </w:t>
      </w:r>
      <w:r w:rsidR="00C333B8" w:rsidRPr="00DA0F4C">
        <w:rPr>
          <w:lang w:val="en-US"/>
        </w:rPr>
        <w:t xml:space="preserve">led by </w:t>
      </w:r>
      <w:r w:rsidR="0098397E" w:rsidRPr="00DA0F4C">
        <w:rPr>
          <w:lang w:val="en-US"/>
        </w:rPr>
        <w:t>organisations run by disabled women</w:t>
      </w:r>
      <w:r w:rsidR="00226570" w:rsidRPr="00DA0F4C">
        <w:rPr>
          <w:lang w:val="en-US"/>
        </w:rPr>
        <w:t xml:space="preserve">; becoming the </w:t>
      </w:r>
      <w:r w:rsidR="00226570" w:rsidRPr="00DA0F4C">
        <w:rPr>
          <w:b/>
          <w:bCs/>
          <w:color w:val="FFFFFF" w:themeColor="background1"/>
          <w:highlight w:val="darkMagenta"/>
          <w:lang w:val="en-US"/>
        </w:rPr>
        <w:t xml:space="preserve">Making It Work Gender and Disability project. </w:t>
      </w:r>
      <w:r w:rsidR="0098397E" w:rsidRPr="00DA0F4C">
        <w:rPr>
          <w:lang w:val="en-US"/>
        </w:rPr>
        <w:t xml:space="preserve"> </w:t>
      </w:r>
    </w:p>
    <w:p w14:paraId="71320726" w14:textId="77777777" w:rsidR="009D686B" w:rsidRPr="00DA0F4C" w:rsidRDefault="00DA0F4C">
      <w:pPr>
        <w:rPr>
          <w:lang w:val="en-US"/>
        </w:rPr>
      </w:pPr>
      <w:r w:rsidRPr="00DA0F4C">
        <w:rPr>
          <w:lang w:val="en-US"/>
        </w:rPr>
        <w:t xml:space="preserve">Recognising the lack of attention paid to the discrimination and violence suffered by women with disabilities, MIW has since documented </w:t>
      </w:r>
      <w:r w:rsidR="003E67A3" w:rsidRPr="00DA0F4C">
        <w:rPr>
          <w:lang w:val="en-US"/>
        </w:rPr>
        <w:t xml:space="preserve">26 </w:t>
      </w:r>
      <w:r w:rsidRPr="00DA0F4C">
        <w:rPr>
          <w:lang w:val="en-US"/>
        </w:rPr>
        <w:t xml:space="preserve">good </w:t>
      </w:r>
      <w:r w:rsidR="003E67A3" w:rsidRPr="00DA0F4C">
        <w:rPr>
          <w:lang w:val="en-US"/>
        </w:rPr>
        <w:t xml:space="preserve">practices in 10 </w:t>
      </w:r>
      <w:r w:rsidRPr="00DA0F4C">
        <w:rPr>
          <w:lang w:val="en-US"/>
        </w:rPr>
        <w:t xml:space="preserve">countries </w:t>
      </w:r>
      <w:r w:rsidR="0083658E" w:rsidRPr="00DA0F4C">
        <w:rPr>
          <w:lang w:val="en-US"/>
        </w:rPr>
        <w:t>aimed at preventing and responding to violence and, more broadly, promoting the rights of women and girls with disabilities</w:t>
      </w:r>
      <w:r w:rsidR="003E67A3" w:rsidRPr="00DA0F4C">
        <w:rPr>
          <w:lang w:val="en-US"/>
        </w:rPr>
        <w:t xml:space="preserve">. </w:t>
      </w:r>
    </w:p>
    <w:p w14:paraId="27493C69" w14:textId="77777777" w:rsidR="00450057" w:rsidRPr="00DA0F4C" w:rsidRDefault="00450057" w:rsidP="00450057">
      <w:pPr>
        <w:pStyle w:val="NormalWeb"/>
        <w:rPr>
          <w:rFonts w:asciiTheme="minorHAnsi" w:eastAsiaTheme="minorHAnsi" w:hAnsiTheme="minorHAnsi" w:cstheme="minorHAnsi"/>
          <w:sz w:val="21"/>
          <w:szCs w:val="21"/>
          <w:lang w:val="en-US" w:eastAsia="en-US"/>
        </w:rPr>
        <w:sectPr w:rsidR="00450057" w:rsidRPr="00DA0F4C">
          <w:headerReference w:type="default" r:id="rId11"/>
          <w:footerReference w:type="default" r:id="rId12"/>
          <w:pgSz w:w="11906" w:h="16838"/>
          <w:pgMar w:top="1417" w:right="1417" w:bottom="1417" w:left="1417" w:header="708" w:footer="708" w:gutter="0"/>
          <w:cols w:space="708"/>
          <w:docGrid w:linePitch="360"/>
        </w:sectPr>
      </w:pPr>
    </w:p>
    <w:p w14:paraId="3F9F4882" w14:textId="77777777" w:rsidR="00450057" w:rsidRDefault="00450057" w:rsidP="001F4516">
      <w:pPr>
        <w:pStyle w:val="NormalWeb"/>
        <w:jc w:val="center"/>
        <w:rPr>
          <w:rFonts w:asciiTheme="minorHAnsi" w:eastAsiaTheme="minorHAnsi" w:hAnsiTheme="minorHAnsi" w:cstheme="minorHAnsi"/>
          <w:sz w:val="21"/>
          <w:szCs w:val="21"/>
          <w:lang w:eastAsia="en-US"/>
        </w:rPr>
      </w:pPr>
      <w:r w:rsidRPr="00450057">
        <w:rPr>
          <w:rFonts w:asciiTheme="minorHAnsi" w:hAnsiTheme="minorHAnsi" w:cstheme="minorHAnsi"/>
          <w:b/>
          <w:bCs/>
          <w:noProof/>
          <w:color w:val="131313"/>
          <w:sz w:val="21"/>
          <w:szCs w:val="21"/>
        </w:rPr>
        <w:drawing>
          <wp:inline distT="0" distB="0" distL="0" distR="0" wp14:anchorId="63D3E259" wp14:editId="1F30F1C7">
            <wp:extent cx="1065008" cy="1371600"/>
            <wp:effectExtent l="0" t="0" r="1905" b="0"/>
            <wp:docPr id="507917924" name="Image 1" descr="Image of the cover page of the MIW 2022 report with the title and group photo of the 2022 workshop in Saly, Senegal. ">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7924" name="Image 1" descr="Image of the cover page of the MIW 2022 report with the title and group photo of the 2022 workshop in Saly, Senegal. ">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758" cy="1391884"/>
                    </a:xfrm>
                    <a:prstGeom prst="rect">
                      <a:avLst/>
                    </a:prstGeom>
                    <a:noFill/>
                    <a:ln>
                      <a:noFill/>
                    </a:ln>
                  </pic:spPr>
                </pic:pic>
              </a:graphicData>
            </a:graphic>
          </wp:inline>
        </w:drawing>
      </w:r>
    </w:p>
    <w:p w14:paraId="5CAD7E30" w14:textId="77777777" w:rsidR="009D686B" w:rsidRPr="00DA0F4C" w:rsidRDefault="00DA0F4C">
      <w:pPr>
        <w:rPr>
          <w:rFonts w:cstheme="minorHAnsi"/>
          <w:szCs w:val="21"/>
          <w:lang w:val="en-US"/>
        </w:rPr>
        <w:sectPr w:rsidR="009D686B" w:rsidRPr="00DA0F4C" w:rsidSect="00450057">
          <w:type w:val="continuous"/>
          <w:pgSz w:w="11906" w:h="16838"/>
          <w:pgMar w:top="1417" w:right="1417" w:bottom="1417" w:left="1417" w:header="708" w:footer="708" w:gutter="0"/>
          <w:cols w:num="2" w:space="255" w:equalWidth="0">
            <w:col w:w="3515" w:space="255"/>
            <w:col w:w="5302"/>
          </w:cols>
          <w:docGrid w:linePitch="360"/>
        </w:sectPr>
      </w:pPr>
      <w:r w:rsidRPr="00DA0F4C">
        <w:rPr>
          <w:rFonts w:cstheme="minorHAnsi"/>
          <w:szCs w:val="21"/>
          <w:lang w:val="en-US"/>
        </w:rPr>
        <w:t xml:space="preserve">Since 2021, </w:t>
      </w:r>
      <w:r w:rsidR="00D42F8A" w:rsidRPr="00DA0F4C">
        <w:rPr>
          <w:rFonts w:cstheme="minorHAnsi"/>
          <w:b/>
          <w:bCs/>
          <w:color w:val="FFFFFF" w:themeColor="background1"/>
          <w:szCs w:val="21"/>
          <w:highlight w:val="darkMagenta"/>
          <w:lang w:val="en-US"/>
        </w:rPr>
        <w:t xml:space="preserve">MIW has expanded its network in West Africa </w:t>
      </w:r>
      <w:r w:rsidRPr="00DA0F4C">
        <w:rPr>
          <w:rFonts w:cstheme="minorHAnsi"/>
          <w:szCs w:val="21"/>
          <w:lang w:val="en-US"/>
        </w:rPr>
        <w:t xml:space="preserve">with new partners in Benin, Senegal and most recently Togo. Find out more about </w:t>
      </w:r>
      <w:r w:rsidR="00450057" w:rsidRPr="00DA0F4C">
        <w:rPr>
          <w:rFonts w:cstheme="minorHAnsi"/>
          <w:szCs w:val="21"/>
          <w:lang w:val="en-US"/>
        </w:rPr>
        <w:t xml:space="preserve">them in </w:t>
      </w:r>
      <w:r w:rsidR="00450057" w:rsidRPr="00DA0F4C">
        <w:rPr>
          <w:rStyle w:val="yt-core-attributed-string--link-inherit-color"/>
          <w:rFonts w:cstheme="minorHAnsi"/>
          <w:color w:val="131313"/>
          <w:szCs w:val="21"/>
          <w:lang w:val="en-US"/>
        </w:rPr>
        <w:t xml:space="preserve">MIW's </w:t>
      </w:r>
      <w:r w:rsidRPr="00DA0F4C">
        <w:rPr>
          <w:rFonts w:cstheme="minorHAnsi"/>
          <w:szCs w:val="21"/>
          <w:lang w:val="en-US"/>
        </w:rPr>
        <w:t xml:space="preserve">2022 report </w:t>
      </w:r>
      <w:hyperlink r:id="rId15" w:tgtFrame="_blank" w:history="1">
        <w:r w:rsidR="00450057" w:rsidRPr="00DA0F4C">
          <w:rPr>
            <w:rStyle w:val="yt-core-attributed-string--link-inherit-color"/>
            <w:rFonts w:cstheme="minorHAnsi"/>
            <w:b/>
            <w:bCs/>
            <w:color w:val="131313"/>
            <w:szCs w:val="21"/>
            <w:lang w:val="en-US"/>
          </w:rPr>
          <w:t>"</w:t>
        </w:r>
      </w:hyperlink>
      <w:hyperlink r:id="rId16" w:tgtFrame="_blank" w:history="1">
        <w:r w:rsidR="00450057" w:rsidRPr="00DA0F4C">
          <w:rPr>
            <w:rStyle w:val="yt-core-attributed-string--link-inherit-color"/>
            <w:rFonts w:cstheme="minorHAnsi"/>
            <w:b/>
            <w:bCs/>
            <w:color w:val="131313"/>
            <w:szCs w:val="21"/>
            <w:lang w:val="en-US"/>
          </w:rPr>
          <w:t xml:space="preserve">Leadership of women with disabilities: strategies to combat violence in West Africa". </w:t>
        </w:r>
      </w:hyperlink>
    </w:p>
    <w:p w14:paraId="06CEE4E9" w14:textId="03F2724C" w:rsidR="009D686B" w:rsidRPr="00DA0F4C" w:rsidRDefault="00DA0F4C">
      <w:pPr>
        <w:spacing w:after="0"/>
        <w:rPr>
          <w:b/>
          <w:color w:val="1F3864" w:themeColor="accent5" w:themeShade="80"/>
          <w:sz w:val="24"/>
          <w:szCs w:val="24"/>
          <w:lang w:val="en-US"/>
        </w:rPr>
      </w:pPr>
      <w:r w:rsidRPr="00DA0F4C">
        <w:rPr>
          <w:b/>
          <w:color w:val="1F3864" w:themeColor="accent5" w:themeShade="80"/>
          <w:sz w:val="24"/>
          <w:szCs w:val="24"/>
          <w:lang w:val="en-US"/>
        </w:rPr>
        <w:t xml:space="preserve">Today, MIW has a network of 17 partner organizations in </w:t>
      </w:r>
      <w:r w:rsidR="004E0D56">
        <w:rPr>
          <w:b/>
          <w:color w:val="1F3864" w:themeColor="accent5" w:themeShade="80"/>
          <w:sz w:val="24"/>
          <w:szCs w:val="24"/>
          <w:lang w:val="en-US"/>
        </w:rPr>
        <w:t>10</w:t>
      </w:r>
      <w:r w:rsidRPr="00DA0F4C">
        <w:rPr>
          <w:b/>
          <w:color w:val="1F3864" w:themeColor="accent5" w:themeShade="80"/>
          <w:sz w:val="24"/>
          <w:szCs w:val="24"/>
          <w:lang w:val="en-US"/>
        </w:rPr>
        <w:t xml:space="preserve"> countries on the African continent: Benin, Burundi, Cameroon, Kenya, Malawi, </w:t>
      </w:r>
      <w:r w:rsidR="002D7701" w:rsidRPr="00DA0F4C">
        <w:rPr>
          <w:b/>
          <w:color w:val="1F3864" w:themeColor="accent5" w:themeShade="80"/>
          <w:sz w:val="24"/>
          <w:szCs w:val="24"/>
          <w:lang w:val="en-US"/>
        </w:rPr>
        <w:t xml:space="preserve">Nigeria, </w:t>
      </w:r>
      <w:r w:rsidRPr="00DA0F4C">
        <w:rPr>
          <w:b/>
          <w:color w:val="1F3864" w:themeColor="accent5" w:themeShade="80"/>
          <w:sz w:val="24"/>
          <w:szCs w:val="24"/>
          <w:lang w:val="en-US"/>
        </w:rPr>
        <w:t xml:space="preserve">Rwanda, Senegal, Togo and Uganda. </w:t>
      </w:r>
    </w:p>
    <w:p w14:paraId="4A308095" w14:textId="77777777" w:rsidR="009D686B" w:rsidRPr="00DA0F4C" w:rsidRDefault="00DA0F4C">
      <w:pPr>
        <w:pStyle w:val="Titre1"/>
        <w:rPr>
          <w:lang w:val="en-US"/>
        </w:rPr>
      </w:pPr>
      <w:r w:rsidRPr="00DA0F4C">
        <w:rPr>
          <w:lang w:val="en-US"/>
        </w:rPr>
        <w:t xml:space="preserve">Promoting the leadership and rights of women with disabilities </w:t>
      </w:r>
    </w:p>
    <w:p w14:paraId="41C1A7F9" w14:textId="77777777" w:rsidR="00365FE8" w:rsidRPr="00DA0F4C" w:rsidRDefault="00365FE8" w:rsidP="00365FE8">
      <w:pPr>
        <w:spacing w:before="120" w:after="0"/>
        <w:jc w:val="center"/>
        <w:rPr>
          <w:lang w:val="en-US"/>
        </w:rPr>
        <w:sectPr w:rsidR="00365FE8" w:rsidRPr="00DA0F4C" w:rsidSect="002D7701">
          <w:type w:val="continuous"/>
          <w:pgSz w:w="11906" w:h="16838"/>
          <w:pgMar w:top="1417" w:right="1417" w:bottom="1417" w:left="1417" w:header="708" w:footer="708" w:gutter="0"/>
          <w:cols w:space="708"/>
          <w:docGrid w:linePitch="360"/>
        </w:sectPr>
      </w:pPr>
    </w:p>
    <w:p w14:paraId="3D55DF1D" w14:textId="77777777" w:rsidR="00365FE8" w:rsidRDefault="00365FE8" w:rsidP="00365FE8">
      <w:pPr>
        <w:spacing w:before="120" w:after="0"/>
        <w:ind w:right="-199"/>
      </w:pPr>
      <w:r>
        <w:rPr>
          <w:noProof/>
        </w:rPr>
        <w:drawing>
          <wp:inline distT="0" distB="0" distL="0" distR="0" wp14:anchorId="44F2DFE3" wp14:editId="2D2B4B1E">
            <wp:extent cx="2514600" cy="1516465"/>
            <wp:effectExtent l="0" t="0" r="0" b="7620"/>
            <wp:docPr id="836741059" name="Image 2" descr="Visual with photos by Awa Touré of the Brigade, Senegal, Janet Ajangi of LIDDWA, Uganda, and Regina Kognon of the NGO Bartimee, Ben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41059" name="Image 2" descr="Visual with photos by Awa Touré of the Brigade, Senegal, Janet Ajangi of LIDDWA, Uganda, and Regina Kognon of the NGO Bartimee, Beni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1470" cy="1520608"/>
                    </a:xfrm>
                    <a:prstGeom prst="rect">
                      <a:avLst/>
                    </a:prstGeom>
                  </pic:spPr>
                </pic:pic>
              </a:graphicData>
            </a:graphic>
          </wp:inline>
        </w:drawing>
      </w:r>
    </w:p>
    <w:p w14:paraId="225D2557" w14:textId="77777777" w:rsidR="00365FE8" w:rsidRDefault="00365FE8" w:rsidP="00365FE8">
      <w:pPr>
        <w:spacing w:after="0"/>
      </w:pPr>
    </w:p>
    <w:p w14:paraId="6A6E5138" w14:textId="0DEA0238" w:rsidR="009D686B" w:rsidRPr="00DA0F4C" w:rsidRDefault="00DA0F4C">
      <w:pPr>
        <w:spacing w:after="0"/>
        <w:rPr>
          <w:lang w:val="en-US"/>
        </w:rPr>
      </w:pPr>
      <w:r w:rsidRPr="00DA0F4C">
        <w:rPr>
          <w:lang w:val="en-US"/>
        </w:rPr>
        <w:t xml:space="preserve">The MIW team and the partner organizations are working together to: 1) </w:t>
      </w:r>
      <w:r w:rsidRPr="00DA0F4C">
        <w:rPr>
          <w:b/>
          <w:lang w:val="en-US"/>
        </w:rPr>
        <w:t xml:space="preserve">contribute to lifting the invisibility of women and girls who are victims of multiple and intersectional discrimination </w:t>
      </w:r>
      <w:r w:rsidRPr="00DA0F4C">
        <w:rPr>
          <w:lang w:val="en-US"/>
        </w:rPr>
        <w:t xml:space="preserve">through evidence-based advocacy led by the organizations’ women leaders 2) increase the impact of the actions of </w:t>
      </w:r>
      <w:r w:rsidRPr="00DA0F4C">
        <w:rPr>
          <w:b/>
          <w:lang w:val="en-US"/>
        </w:rPr>
        <w:t>women-led organizations</w:t>
      </w:r>
      <w:r w:rsidRPr="00DA0F4C">
        <w:rPr>
          <w:lang w:val="en-US"/>
        </w:rPr>
        <w:t>, in particular through the scaling-up, with MIW's financial and technical support, of their good practice in preventing and responding to violence against women and girls with disabilities.</w:t>
      </w:r>
    </w:p>
    <w:p w14:paraId="252ED0A6" w14:textId="77777777" w:rsidR="00365FE8" w:rsidRPr="00DA0F4C" w:rsidRDefault="00365FE8" w:rsidP="00365FE8">
      <w:pPr>
        <w:spacing w:before="240"/>
        <w:rPr>
          <w:b/>
          <w:bCs/>
          <w:color w:val="FFFFFF" w:themeColor="background1"/>
          <w:highlight w:val="darkMagenta"/>
          <w:lang w:val="en-US"/>
        </w:rPr>
        <w:sectPr w:rsidR="00365FE8" w:rsidRPr="00DA0F4C" w:rsidSect="00A847D0">
          <w:type w:val="continuous"/>
          <w:pgSz w:w="11906" w:h="16838"/>
          <w:pgMar w:top="1417" w:right="1417" w:bottom="1417" w:left="1417" w:header="708" w:footer="708" w:gutter="0"/>
          <w:cols w:num="2" w:space="340" w:equalWidth="0">
            <w:col w:w="3912" w:space="340"/>
            <w:col w:w="4820"/>
          </w:cols>
          <w:docGrid w:linePitch="360"/>
        </w:sectPr>
      </w:pPr>
    </w:p>
    <w:p w14:paraId="10073B16" w14:textId="635E3351" w:rsidR="009D686B" w:rsidRPr="00DA0F4C" w:rsidRDefault="00DA0F4C">
      <w:pPr>
        <w:pStyle w:val="Paragraphedeliste"/>
        <w:numPr>
          <w:ilvl w:val="0"/>
          <w:numId w:val="2"/>
        </w:numPr>
        <w:spacing w:before="240"/>
        <w:rPr>
          <w:lang w:val="en-US"/>
        </w:rPr>
      </w:pPr>
      <w:r w:rsidRPr="00DA0F4C">
        <w:rPr>
          <w:lang w:val="en-US"/>
        </w:rPr>
        <w:t xml:space="preserve">Read the contribution of </w:t>
      </w:r>
      <w:r w:rsidRPr="00DA0F4C">
        <w:rPr>
          <w:b/>
          <w:bCs/>
          <w:color w:val="FFFFFF" w:themeColor="background1"/>
          <w:highlight w:val="darkMagenta"/>
          <w:lang w:val="en-US"/>
        </w:rPr>
        <w:t xml:space="preserve">14 organizations on the equal and inclusive representation of women </w:t>
      </w:r>
      <w:r w:rsidRPr="00DA0F4C">
        <w:rPr>
          <w:lang w:val="en-US"/>
        </w:rPr>
        <w:t xml:space="preserve">in decision-making systems for the CEDAW Committee, February 2023 </w:t>
      </w:r>
      <w:hyperlink r:id="rId18" w:tgtFrame="_blank" w:history="1">
        <w:r w:rsidRPr="00DA0F4C">
          <w:rPr>
            <w:rStyle w:val="Lienhypertexte"/>
            <w:lang w:val="en-US"/>
          </w:rPr>
          <w:t xml:space="preserve">at this </w:t>
        </w:r>
      </w:hyperlink>
      <w:r w:rsidRPr="00DA0F4C">
        <w:rPr>
          <w:lang w:val="en-US"/>
        </w:rPr>
        <w:t xml:space="preserve">link </w:t>
      </w:r>
    </w:p>
    <w:p w14:paraId="0072791D" w14:textId="67C4FF0B" w:rsidR="009D686B" w:rsidRPr="00DA0F4C" w:rsidRDefault="00DA0F4C">
      <w:pPr>
        <w:pStyle w:val="Paragraphedeliste"/>
        <w:numPr>
          <w:ilvl w:val="0"/>
          <w:numId w:val="2"/>
        </w:numPr>
        <w:spacing w:before="360"/>
        <w:ind w:left="714" w:hanging="357"/>
        <w:contextualSpacing w:val="0"/>
        <w:rPr>
          <w:rStyle w:val="Lienhypertexte"/>
          <w:color w:val="auto"/>
          <w:u w:val="none"/>
          <w:lang w:val="en-US"/>
        </w:rPr>
      </w:pPr>
      <w:r w:rsidRPr="00DA0F4C">
        <w:rPr>
          <w:lang w:val="en-US"/>
        </w:rPr>
        <w:t xml:space="preserve">Listen to </w:t>
      </w:r>
      <w:r w:rsidRPr="00DA0F4C">
        <w:rPr>
          <w:b/>
          <w:bCs/>
          <w:color w:val="FFFFFF" w:themeColor="background1"/>
          <w:highlight w:val="darkMagenta"/>
          <w:lang w:val="en-US"/>
        </w:rPr>
        <w:t xml:space="preserve">3 women leaders with disabilities panelists in 2023 </w:t>
      </w:r>
      <w:r w:rsidRPr="00DA0F4C">
        <w:rPr>
          <w:lang w:val="en-US"/>
        </w:rPr>
        <w:t xml:space="preserve">at the Commission on the Status of Women CSW67 and the Conference of States Parties to the International Convention on the Rights of Persons with Disabilities COSP16 on our </w:t>
      </w:r>
      <w:hyperlink r:id="rId19" w:history="1">
        <w:r w:rsidRPr="00DA0F4C">
          <w:rPr>
            <w:rStyle w:val="Lienhypertexte"/>
            <w:lang w:val="en-US"/>
          </w:rPr>
          <w:t>Youtube channel</w:t>
        </w:r>
      </w:hyperlink>
    </w:p>
    <w:p w14:paraId="429CF0E7" w14:textId="77777777" w:rsidR="00365FE8" w:rsidRPr="00DA0F4C" w:rsidRDefault="00365FE8" w:rsidP="00365FE8">
      <w:pPr>
        <w:rPr>
          <w:lang w:val="en-US"/>
        </w:rPr>
      </w:pPr>
    </w:p>
    <w:p w14:paraId="19D29D92" w14:textId="77777777" w:rsidR="009D686B" w:rsidRPr="00DA0F4C" w:rsidRDefault="00DA0F4C">
      <w:pPr>
        <w:pStyle w:val="Titre1"/>
        <w:rPr>
          <w:lang w:val="en-US"/>
        </w:rPr>
      </w:pPr>
      <w:r w:rsidRPr="00DA0F4C">
        <w:rPr>
          <w:lang w:val="en-US"/>
        </w:rPr>
        <w:lastRenderedPageBreak/>
        <w:t xml:space="preserve">MIW: intersectionality in practice </w:t>
      </w:r>
    </w:p>
    <w:p w14:paraId="3FF3AC33" w14:textId="292297D3" w:rsidR="009D686B" w:rsidRPr="00DA0F4C" w:rsidRDefault="00DA0F4C">
      <w:pPr>
        <w:rPr>
          <w:lang w:val="en-US"/>
        </w:rPr>
      </w:pPr>
      <w:r w:rsidRPr="00DA0F4C">
        <w:rPr>
          <w:lang w:val="en-US"/>
        </w:rPr>
        <w:t xml:space="preserve">Drawing on the experience of the partner organizations that are members of this unique network, MIW has become increasingly involved in efforts to advance the full realization of the rights of women and girls suffering from multiple and intersectional discrimination. </w:t>
      </w:r>
    </w:p>
    <w:p w14:paraId="02220948" w14:textId="77777777" w:rsidR="00A847D0" w:rsidRPr="00DA0F4C" w:rsidRDefault="00A847D0" w:rsidP="002D7701">
      <w:pPr>
        <w:rPr>
          <w:lang w:val="en-US"/>
        </w:rPr>
        <w:sectPr w:rsidR="00A847D0" w:rsidRPr="00DA0F4C" w:rsidSect="00C675F9">
          <w:type w:val="continuous"/>
          <w:pgSz w:w="11906" w:h="16838"/>
          <w:pgMar w:top="1933" w:right="1417" w:bottom="1417" w:left="1417" w:header="708" w:footer="708" w:gutter="0"/>
          <w:cols w:space="1077"/>
          <w:docGrid w:linePitch="360"/>
        </w:sectPr>
      </w:pPr>
    </w:p>
    <w:p w14:paraId="6ECAC015" w14:textId="50B17E7A" w:rsidR="009D686B" w:rsidRPr="00DA0F4C" w:rsidRDefault="00DA0F4C">
      <w:pPr>
        <w:tabs>
          <w:tab w:val="left" w:pos="0"/>
        </w:tabs>
        <w:rPr>
          <w:lang w:val="en-US"/>
        </w:rPr>
      </w:pPr>
      <w:r w:rsidRPr="00DA0F4C">
        <w:rPr>
          <w:lang w:val="en-US"/>
        </w:rPr>
        <w:t xml:space="preserve">Strengthening its expertise </w:t>
      </w:r>
      <w:r w:rsidR="00A847D0" w:rsidRPr="00DA0F4C">
        <w:rPr>
          <w:lang w:val="en-US"/>
        </w:rPr>
        <w:t xml:space="preserve">with </w:t>
      </w:r>
      <w:r w:rsidRPr="00DA0F4C">
        <w:rPr>
          <w:lang w:val="en-US"/>
        </w:rPr>
        <w:t>its partner associations</w:t>
      </w:r>
      <w:r w:rsidR="003E67A3" w:rsidRPr="00DA0F4C">
        <w:rPr>
          <w:lang w:val="en-US"/>
        </w:rPr>
        <w:t xml:space="preserve">, MIW has co-developed with </w:t>
      </w:r>
      <w:r w:rsidR="003E67A3" w:rsidRPr="00DA0F4C">
        <w:rPr>
          <w:b/>
          <w:bCs/>
          <w:lang w:val="en-US"/>
        </w:rPr>
        <w:t xml:space="preserve">Inclusive Friends Association Nigeria </w:t>
      </w:r>
      <w:r w:rsidR="003E67A3" w:rsidRPr="00DA0F4C">
        <w:rPr>
          <w:lang w:val="en-US"/>
        </w:rPr>
        <w:t xml:space="preserve">the </w:t>
      </w:r>
      <w:r w:rsidRPr="00DA0F4C">
        <w:rPr>
          <w:b/>
          <w:color w:val="FFFFFF" w:themeColor="background1"/>
          <w:highlight w:val="darkMagenta"/>
          <w:lang w:val="en-US"/>
        </w:rPr>
        <w:t>"Practical Guide: Intersectionality in Action"</w:t>
      </w:r>
      <w:r w:rsidR="0091179A" w:rsidRPr="00D42F8A">
        <w:rPr>
          <w:rStyle w:val="Appelnotedebasdep"/>
          <w:b/>
          <w:color w:val="FFFFFF" w:themeColor="background1"/>
          <w:highlight w:val="darkMagenta"/>
        </w:rPr>
        <w:footnoteReference w:id="1"/>
      </w:r>
      <w:r w:rsidR="003E67A3" w:rsidRPr="00DA0F4C">
        <w:rPr>
          <w:b/>
          <w:color w:val="FFFFFF" w:themeColor="background1"/>
          <w:highlight w:val="darkMagenta"/>
          <w:lang w:val="en-US"/>
        </w:rPr>
        <w:t xml:space="preserve"> , published in May 2022</w:t>
      </w:r>
      <w:r w:rsidR="00D42F8A" w:rsidRPr="00DA0F4C">
        <w:rPr>
          <w:lang w:val="en-US"/>
        </w:rPr>
        <w:t>.</w:t>
      </w:r>
    </w:p>
    <w:p w14:paraId="7337D6EC" w14:textId="41DA9D26" w:rsidR="009D686B" w:rsidRPr="00DA0F4C" w:rsidRDefault="00DA0F4C">
      <w:pPr>
        <w:tabs>
          <w:tab w:val="left" w:pos="0"/>
        </w:tabs>
        <w:rPr>
          <w:bCs/>
          <w:lang w:val="en-US"/>
        </w:rPr>
      </w:pPr>
      <w:r w:rsidRPr="00DA0F4C">
        <w:rPr>
          <w:bCs/>
          <w:lang w:val="en-US"/>
        </w:rPr>
        <w:t xml:space="preserve">This guide provides steps and tools for adopting an intersectional approach to designing and launching projects that will leave no woman behind. It can be used to address, </w:t>
      </w:r>
      <w:r w:rsidR="00A847D0" w:rsidRPr="00DA0F4C">
        <w:rPr>
          <w:bCs/>
          <w:lang w:val="en-US"/>
        </w:rPr>
        <w:t xml:space="preserve">in a given </w:t>
      </w:r>
      <w:r w:rsidRPr="00DA0F4C">
        <w:rPr>
          <w:bCs/>
          <w:lang w:val="en-US"/>
        </w:rPr>
        <w:t>context</w:t>
      </w:r>
      <w:r w:rsidR="00A847D0" w:rsidRPr="00DA0F4C">
        <w:rPr>
          <w:bCs/>
          <w:lang w:val="en-US"/>
        </w:rPr>
        <w:t xml:space="preserve">, the relevant </w:t>
      </w:r>
      <w:r w:rsidRPr="00DA0F4C">
        <w:rPr>
          <w:bCs/>
          <w:lang w:val="en-US"/>
        </w:rPr>
        <w:t>factors of discrimination in order to analyze the experiences of people, whatever their gender, disability, origin, ethnicity</w:t>
      </w:r>
      <w:r w:rsidR="00A847D0" w:rsidRPr="00DA0F4C">
        <w:rPr>
          <w:bCs/>
          <w:lang w:val="en-US"/>
        </w:rPr>
        <w:t>, etc.</w:t>
      </w:r>
    </w:p>
    <w:p w14:paraId="403CFEDD" w14:textId="77777777" w:rsidR="00A847D0" w:rsidRDefault="003E67A3" w:rsidP="00A847D0">
      <w:pPr>
        <w:tabs>
          <w:tab w:val="left" w:pos="0"/>
        </w:tabs>
        <w:sectPr w:rsidR="00A847D0" w:rsidSect="00A847D0">
          <w:type w:val="continuous"/>
          <w:pgSz w:w="11906" w:h="16838"/>
          <w:pgMar w:top="1417" w:right="1417" w:bottom="1417" w:left="1417" w:header="708" w:footer="708" w:gutter="0"/>
          <w:cols w:num="2" w:space="284" w:equalWidth="0">
            <w:col w:w="5046" w:space="284"/>
            <w:col w:w="3742"/>
          </w:cols>
          <w:docGrid w:linePitch="360"/>
        </w:sectPr>
      </w:pPr>
      <w:r w:rsidRPr="00DA0F4C">
        <w:rPr>
          <w:bCs/>
          <w:lang w:val="en-US"/>
        </w:rPr>
        <w:t xml:space="preserve"> </w:t>
      </w:r>
      <w:r w:rsidR="00A847D0">
        <w:rPr>
          <w:noProof/>
          <w:lang w:eastAsia="fr-FR"/>
        </w:rPr>
        <w:drawing>
          <wp:inline distT="0" distB="0" distL="0" distR="0" wp14:anchorId="43A090E9" wp14:editId="6BE8DFD8">
            <wp:extent cx="1327315" cy="1886620"/>
            <wp:effectExtent l="133350" t="114300" r="120650" b="170815"/>
            <wp:docPr id="2" name="Image 2" descr="Picture of the cover page of MIW How-To guide. Purple background with title and drawing of an open book from which the gears are flying a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icture of the cover page of MIW How-To guide. Purple background with title and drawing of an open book from which the gears are flying away.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5534" cy="19125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0A4A1C" w14:textId="229CA3F2" w:rsidR="009D686B" w:rsidRPr="00DA0F4C" w:rsidRDefault="00DA0F4C">
      <w:pPr>
        <w:pStyle w:val="Titre1"/>
        <w:rPr>
          <w:lang w:val="en-US"/>
        </w:rPr>
      </w:pPr>
      <w:r w:rsidRPr="00DA0F4C">
        <w:rPr>
          <w:lang w:val="en-US"/>
        </w:rPr>
        <w:t>For an anti-</w:t>
      </w:r>
      <w:r>
        <w:rPr>
          <w:lang w:val="en-US"/>
        </w:rPr>
        <w:t>ableist</w:t>
      </w:r>
      <w:r w:rsidRPr="00DA0F4C">
        <w:rPr>
          <w:lang w:val="en-US"/>
        </w:rPr>
        <w:t xml:space="preserve">, </w:t>
      </w:r>
      <w:r w:rsidR="00D42F8A" w:rsidRPr="00DA0F4C">
        <w:rPr>
          <w:lang w:val="en-US"/>
        </w:rPr>
        <w:t xml:space="preserve">decolonial, anti-racist </w:t>
      </w:r>
      <w:r w:rsidRPr="00DA0F4C">
        <w:rPr>
          <w:lang w:val="en-US"/>
        </w:rPr>
        <w:t>intersectional feminism</w:t>
      </w:r>
    </w:p>
    <w:p w14:paraId="0A9F22A9" w14:textId="788F9491" w:rsidR="001F4516" w:rsidRPr="00DA0F4C" w:rsidRDefault="00DA0F4C" w:rsidP="00117E7F">
      <w:pPr>
        <w:spacing w:after="600"/>
        <w:rPr>
          <w:lang w:val="en-US"/>
        </w:rPr>
      </w:pPr>
      <w:r w:rsidRPr="00DA0F4C">
        <w:rPr>
          <w:lang w:val="en-US"/>
        </w:rPr>
        <w:t xml:space="preserve">Making It Work takes </w:t>
      </w:r>
      <w:r w:rsidRPr="00DA0F4C">
        <w:rPr>
          <w:b/>
          <w:lang w:val="en-US"/>
        </w:rPr>
        <w:t>a</w:t>
      </w:r>
      <w:r w:rsidR="00D030BF">
        <w:rPr>
          <w:b/>
          <w:lang w:val="en-US"/>
        </w:rPr>
        <w:t>n</w:t>
      </w:r>
      <w:r w:rsidRPr="00DA0F4C">
        <w:rPr>
          <w:b/>
          <w:lang w:val="en-US"/>
        </w:rPr>
        <w:t xml:space="preserve"> </w:t>
      </w:r>
      <w:r w:rsidR="00D030BF" w:rsidRPr="00181683">
        <w:rPr>
          <w:b/>
          <w:color w:val="FFFFFF" w:themeColor="background1"/>
          <w:highlight w:val="darkMagenta"/>
          <w:lang w:val="en-US"/>
        </w:rPr>
        <w:t xml:space="preserve">intersectional </w:t>
      </w:r>
      <w:r w:rsidRPr="00181683">
        <w:rPr>
          <w:b/>
          <w:color w:val="FFFFFF" w:themeColor="background1"/>
          <w:highlight w:val="darkMagenta"/>
          <w:lang w:val="en-US"/>
        </w:rPr>
        <w:t>feminist, anti-ableist</w:t>
      </w:r>
      <w:r w:rsidR="008E1599" w:rsidRPr="00181683">
        <w:rPr>
          <w:b/>
          <w:color w:val="FFFFFF" w:themeColor="background1"/>
          <w:highlight w:val="darkMagenta"/>
          <w:lang w:val="en-US"/>
        </w:rPr>
        <w:t xml:space="preserve">, </w:t>
      </w:r>
      <w:r w:rsidR="00D42F8A" w:rsidRPr="00181683">
        <w:rPr>
          <w:b/>
          <w:color w:val="FFFFFF" w:themeColor="background1"/>
          <w:highlight w:val="darkMagenta"/>
          <w:lang w:val="en-US"/>
        </w:rPr>
        <w:t>anti-racist</w:t>
      </w:r>
      <w:r w:rsidR="00D030BF" w:rsidRPr="00181683">
        <w:rPr>
          <w:b/>
          <w:color w:val="FFFFFF" w:themeColor="background1"/>
          <w:highlight w:val="darkMagenta"/>
          <w:lang w:val="en-US"/>
        </w:rPr>
        <w:t xml:space="preserve"> and</w:t>
      </w:r>
      <w:r w:rsidR="00D42F8A" w:rsidRPr="00181683">
        <w:rPr>
          <w:b/>
          <w:color w:val="FFFFFF" w:themeColor="background1"/>
          <w:highlight w:val="darkMagenta"/>
          <w:lang w:val="en-US"/>
        </w:rPr>
        <w:t xml:space="preserve"> </w:t>
      </w:r>
      <w:r w:rsidR="008E1599" w:rsidRPr="00181683">
        <w:rPr>
          <w:b/>
          <w:color w:val="FFFFFF" w:themeColor="background1"/>
          <w:highlight w:val="darkMagenta"/>
          <w:lang w:val="en-US"/>
        </w:rPr>
        <w:t>decolonial</w:t>
      </w:r>
      <w:r w:rsidRPr="001121B4">
        <w:rPr>
          <w:b/>
          <w:color w:val="FFFFFF" w:themeColor="background1"/>
          <w:highlight w:val="darkMagenta"/>
          <w:lang w:val="en-US"/>
        </w:rPr>
        <w:t xml:space="preserve"> approach</w:t>
      </w:r>
      <w:r w:rsidRPr="00DA0F4C">
        <w:rPr>
          <w:b/>
          <w:lang w:val="en-US"/>
        </w:rPr>
        <w:t xml:space="preserve"> to the fight against violence against </w:t>
      </w:r>
      <w:r w:rsidR="008E1599" w:rsidRPr="00DA0F4C">
        <w:rPr>
          <w:b/>
          <w:lang w:val="en-US"/>
        </w:rPr>
        <w:t>women and girls with disabilities</w:t>
      </w:r>
      <w:r w:rsidR="00D42F8A" w:rsidRPr="00DA0F4C">
        <w:rPr>
          <w:lang w:val="en-US"/>
        </w:rPr>
        <w:t>.</w:t>
      </w:r>
      <w:r w:rsidR="008C7F6B">
        <w:rPr>
          <w:lang w:val="en-US"/>
        </w:rPr>
        <w:t xml:space="preserve"> </w:t>
      </w:r>
      <w:r w:rsidR="008C7F6B" w:rsidRPr="002B21DA">
        <w:rPr>
          <w:lang w:val="en-US"/>
        </w:rPr>
        <w:t>This involves</w:t>
      </w:r>
      <w:r w:rsidR="002B21DA">
        <w:rPr>
          <w:lang w:val="en-US"/>
        </w:rPr>
        <w:t xml:space="preserve"> addressing gender inequalities as well as ableist stereotypes as root causes of violence against women</w:t>
      </w:r>
      <w:r w:rsidR="00D030BF">
        <w:rPr>
          <w:lang w:val="en-US"/>
        </w:rPr>
        <w:t xml:space="preserve"> and girls</w:t>
      </w:r>
      <w:r w:rsidR="002B21DA">
        <w:rPr>
          <w:lang w:val="en-US"/>
        </w:rPr>
        <w:t xml:space="preserve"> with disabilities</w:t>
      </w:r>
      <w:r w:rsidR="00D030BF">
        <w:rPr>
          <w:lang w:val="en-US"/>
        </w:rPr>
        <w:t>. As well it require</w:t>
      </w:r>
      <w:r w:rsidR="007C0E12">
        <w:rPr>
          <w:lang w:val="en-US"/>
        </w:rPr>
        <w:t>s</w:t>
      </w:r>
      <w:r w:rsidR="00D030BF">
        <w:rPr>
          <w:lang w:val="en-US"/>
        </w:rPr>
        <w:t xml:space="preserve"> </w:t>
      </w:r>
      <w:r w:rsidR="00D030BF" w:rsidRPr="00D030BF">
        <w:rPr>
          <w:lang w:val="en-US"/>
        </w:rPr>
        <w:t xml:space="preserve">rethinking </w:t>
      </w:r>
      <w:r w:rsidR="002B21DA">
        <w:rPr>
          <w:lang w:val="en-US"/>
        </w:rPr>
        <w:t xml:space="preserve">the working </w:t>
      </w:r>
      <w:r w:rsidR="00D030BF" w:rsidRPr="00D030BF">
        <w:rPr>
          <w:lang w:val="en-US"/>
        </w:rPr>
        <w:t xml:space="preserve">practices and partnership relations between MIW and </w:t>
      </w:r>
      <w:r w:rsidR="00D030BF">
        <w:rPr>
          <w:lang w:val="en-US"/>
        </w:rPr>
        <w:t xml:space="preserve">the </w:t>
      </w:r>
      <w:r w:rsidR="00D030BF" w:rsidRPr="00D030BF">
        <w:rPr>
          <w:lang w:val="en-US"/>
        </w:rPr>
        <w:t>women-led organizations based in the</w:t>
      </w:r>
      <w:r w:rsidR="00D030BF">
        <w:rPr>
          <w:lang w:val="en-US"/>
        </w:rPr>
        <w:t xml:space="preserve"> global</w:t>
      </w:r>
      <w:r w:rsidR="00D030BF" w:rsidRPr="00D030BF">
        <w:rPr>
          <w:lang w:val="en-US"/>
        </w:rPr>
        <w:t xml:space="preserve"> South, in order to achieve an egalitarian partnership approach.</w:t>
      </w:r>
    </w:p>
    <w:p w14:paraId="16015269" w14:textId="77777777" w:rsidR="00F63151" w:rsidRPr="00921305" w:rsidRDefault="00F63151" w:rsidP="00F63151">
      <w:pPr>
        <w:spacing w:before="120"/>
        <w:ind w:left="709"/>
        <w:rPr>
          <w:b/>
          <w:bCs/>
          <w:color w:val="00B2A9"/>
        </w:rPr>
      </w:pPr>
      <w:r w:rsidRPr="00921305">
        <w:rPr>
          <w:noProof/>
          <w:lang w:eastAsia="fr-FR"/>
        </w:rPr>
        <mc:AlternateContent>
          <mc:Choice Requires="wps">
            <w:drawing>
              <wp:inline distT="0" distB="0" distL="0" distR="0" wp14:anchorId="278DB83A" wp14:editId="02E1549B">
                <wp:extent cx="5200650" cy="0"/>
                <wp:effectExtent l="0" t="0" r="0" b="0"/>
                <wp:docPr id="7" name="Connecteur droit 7" descr="Début d'encart"/>
                <wp:cNvGraphicFramePr/>
                <a:graphic xmlns:a="http://schemas.openxmlformats.org/drawingml/2006/main">
                  <a:graphicData uri="http://schemas.microsoft.com/office/word/2010/wordprocessingShape">
                    <wps:wsp>
                      <wps:cNvCnPr/>
                      <wps:spPr>
                        <a:xfrm>
                          <a:off x="0" y="0"/>
                          <a:ext cx="520065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adec="http://schemas.microsoft.com/office/drawing/2017/decorative">
            <w:pict>
              <v:line id="Connecteur droit 7" style="visibility:visible;mso-wrap-style:square;mso-left-percent:-10001;mso-top-percent:-10001;mso-position-horizontal:absolute;mso-position-horizontal-relative:char;mso-position-vertical:absolute;mso-position-vertical-relative:line;mso-left-percent:-10001;mso-top-percent:-10001" alt="Début d'encart" o:spid="_x0000_s1026" strokecolor="#ed7d31 [3205]"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" from="0,0" to="409.5pt,0" w14:anchorId="25A19517">
                <v:stroke joinstyle="miter"/>
                <w10:anchorlock/>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
        <w:gridCol w:w="3571"/>
        <w:gridCol w:w="4819"/>
      </w:tblGrid>
      <w:tr w:rsidR="00117E7F" w:rsidRPr="00117E7F" w14:paraId="2D6EE1CF" w14:textId="77777777" w:rsidTr="00117E7F">
        <w:tc>
          <w:tcPr>
            <w:tcW w:w="682" w:type="dxa"/>
            <w:vAlign w:val="center"/>
          </w:tcPr>
          <w:p w14:paraId="4BC355A5" w14:textId="77777777" w:rsidR="00A847D0" w:rsidRDefault="00A847D0" w:rsidP="00365FE8">
            <w:pPr>
              <w:ind w:left="316" w:hanging="411"/>
              <w:rPr>
                <w:i/>
                <w:iCs/>
              </w:rPr>
            </w:pPr>
            <w:r>
              <w:rPr>
                <w:noProof/>
              </w:rPr>
              <w:drawing>
                <wp:inline distT="0" distB="0" distL="0" distR="0" wp14:anchorId="19776606" wp14:editId="5754399E">
                  <wp:extent cx="360000" cy="360000"/>
                  <wp:effectExtent l="0" t="0" r="2540" b="254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21" cstate="screen">
                            <a:extLst>
                              <a:ext uri="{28A0092B-C50C-407E-A947-70E740481C1C}">
                                <a14:useLocalDpi xmlns:a14="http://schemas.microsoft.com/office/drawing/2010/main"/>
                              </a:ext>
                            </a:extLst>
                          </a:blip>
                          <a:stretch>
                            <a:fillRect/>
                          </a:stretch>
                        </pic:blipFill>
                        <pic:spPr>
                          <a:xfrm>
                            <a:off x="0" y="0"/>
                            <a:ext cx="360000" cy="360000"/>
                          </a:xfrm>
                          <a:prstGeom prst="rect">
                            <a:avLst/>
                          </a:prstGeom>
                        </pic:spPr>
                      </pic:pic>
                    </a:graphicData>
                  </a:graphic>
                </wp:inline>
              </w:drawing>
            </w:r>
          </w:p>
        </w:tc>
        <w:tc>
          <w:tcPr>
            <w:tcW w:w="3571" w:type="dxa"/>
          </w:tcPr>
          <w:p w14:paraId="1FB96A11" w14:textId="77777777" w:rsidR="009D686B" w:rsidRDefault="00DA0F4C">
            <w:pPr>
              <w:spacing w:before="240" w:line="300" w:lineRule="atLeast"/>
              <w:ind w:left="34"/>
              <w:rPr>
                <w:i/>
                <w:iCs/>
                <w:szCs w:val="21"/>
                <w:lang w:val="en-US"/>
              </w:rPr>
            </w:pPr>
            <w:bookmarkStart w:id="0" w:name="_Hlk139621511"/>
            <w:r w:rsidRPr="00C43CE4">
              <w:rPr>
                <w:b/>
                <w:szCs w:val="21"/>
                <w:lang w:val="en-US"/>
              </w:rPr>
              <w:t>Email</w:t>
            </w:r>
            <w:r w:rsidRPr="00C43CE4">
              <w:rPr>
                <w:szCs w:val="21"/>
                <w:lang w:val="en-US"/>
              </w:rPr>
              <w:t xml:space="preserve">: </w:t>
            </w:r>
            <w:r w:rsidRPr="0083658E">
              <w:rPr>
                <w:szCs w:val="21"/>
                <w:lang w:val="en-US"/>
              </w:rPr>
              <w:t>s.pecourt@hi.org</w:t>
            </w:r>
          </w:p>
          <w:p w14:paraId="2726E0D3" w14:textId="77777777" w:rsidR="009D686B" w:rsidRDefault="00DA0F4C">
            <w:pPr>
              <w:spacing w:line="300" w:lineRule="atLeast"/>
              <w:ind w:left="33"/>
              <w:rPr>
                <w:szCs w:val="21"/>
                <w:lang w:val="en-US"/>
              </w:rPr>
            </w:pPr>
            <w:r w:rsidRPr="00C43CE4">
              <w:rPr>
                <w:b/>
                <w:szCs w:val="21"/>
                <w:lang w:val="en-US"/>
              </w:rPr>
              <w:t>Web</w:t>
            </w:r>
            <w:r w:rsidRPr="00C43CE4">
              <w:rPr>
                <w:szCs w:val="21"/>
                <w:lang w:val="en-US"/>
              </w:rPr>
              <w:t>: makingitwork.hi.org</w:t>
            </w:r>
          </w:p>
          <w:p w14:paraId="213FF683" w14:textId="77777777" w:rsidR="009D686B" w:rsidRDefault="00DA0F4C">
            <w:pPr>
              <w:spacing w:line="300" w:lineRule="atLeast"/>
              <w:ind w:left="33"/>
              <w:rPr>
                <w:szCs w:val="21"/>
                <w:lang w:val="en-US"/>
              </w:rPr>
            </w:pPr>
            <w:r w:rsidRPr="00C43CE4">
              <w:rPr>
                <w:b/>
                <w:szCs w:val="21"/>
                <w:lang w:val="en-US"/>
              </w:rPr>
              <w:t>Facebook</w:t>
            </w:r>
            <w:r w:rsidRPr="00C43CE4">
              <w:rPr>
                <w:szCs w:val="21"/>
                <w:lang w:val="en-US"/>
              </w:rPr>
              <w:t>: @MakingItWorkCRPD</w:t>
            </w:r>
          </w:p>
          <w:p w14:paraId="2DE0D037" w14:textId="77777777" w:rsidR="009D686B" w:rsidRDefault="00DA0F4C">
            <w:pPr>
              <w:spacing w:line="300" w:lineRule="atLeast"/>
              <w:ind w:left="34"/>
              <w:rPr>
                <w:szCs w:val="21"/>
                <w:lang w:val="en-US"/>
              </w:rPr>
            </w:pPr>
            <w:r w:rsidRPr="00C43CE4">
              <w:rPr>
                <w:b/>
                <w:szCs w:val="21"/>
                <w:lang w:val="en-US"/>
              </w:rPr>
              <w:t>LinkedIn</w:t>
            </w:r>
            <w:r w:rsidRPr="00C43CE4">
              <w:rPr>
                <w:szCs w:val="21"/>
                <w:lang w:val="en-US"/>
              </w:rPr>
              <w:t xml:space="preserve">: </w:t>
            </w:r>
            <w:r w:rsidRPr="00A90B99">
              <w:rPr>
                <w:lang w:val="en-US"/>
              </w:rPr>
              <w:t>www.linkedin.com/company/makingitwork-gender-disability</w:t>
            </w:r>
          </w:p>
          <w:p w14:paraId="24A0928B" w14:textId="77777777" w:rsidR="009D686B" w:rsidRDefault="00DA0F4C">
            <w:pPr>
              <w:spacing w:line="300" w:lineRule="atLeast"/>
              <w:ind w:left="34"/>
              <w:rPr>
                <w:lang w:val="en-US"/>
              </w:rPr>
            </w:pPr>
            <w:r w:rsidRPr="00692497">
              <w:rPr>
                <w:b/>
                <w:bCs/>
                <w:lang w:val="en-US"/>
              </w:rPr>
              <w:t>Youtube:</w:t>
            </w:r>
            <w:r w:rsidRPr="00F63151">
              <w:rPr>
                <w:lang w:val="en-US"/>
              </w:rPr>
              <w:t xml:space="preserve"> </w:t>
            </w:r>
            <w:r w:rsidRPr="00D42F8A">
              <w:rPr>
                <w:lang w:val="en-US"/>
              </w:rPr>
              <w:t>https:</w:t>
            </w:r>
            <w:r>
              <w:rPr>
                <w:lang w:val="en-US"/>
              </w:rPr>
              <w:t>//bit.ly/MIW-Youtube</w:t>
            </w:r>
            <w:bookmarkEnd w:id="0"/>
          </w:p>
        </w:tc>
        <w:tc>
          <w:tcPr>
            <w:tcW w:w="4819" w:type="dxa"/>
          </w:tcPr>
          <w:p w14:paraId="3F2299B1" w14:textId="4A56A6D0" w:rsidR="00A847D0" w:rsidRPr="00117E7F" w:rsidRDefault="00117E7F" w:rsidP="00117E7F">
            <w:pPr>
              <w:spacing w:line="300" w:lineRule="atLeast"/>
              <w:ind w:left="-167"/>
              <w:rPr>
                <w:b/>
                <w:szCs w:val="21"/>
                <w:lang w:val="en-US"/>
              </w:rPr>
            </w:pPr>
            <w:r>
              <w:rPr>
                <w:noProof/>
              </w:rPr>
              <w:drawing>
                <wp:inline distT="0" distB="0" distL="0" distR="0" wp14:anchorId="794A4F81" wp14:editId="061A199B">
                  <wp:extent cx="3048000" cy="2454660"/>
                  <wp:effectExtent l="0" t="0" r="0" b="3175"/>
                  <wp:docPr id="8199641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64117" name=""/>
                          <pic:cNvPicPr/>
                        </pic:nvPicPr>
                        <pic:blipFill>
                          <a:blip r:embed="rId22"/>
                          <a:stretch>
                            <a:fillRect/>
                          </a:stretch>
                        </pic:blipFill>
                        <pic:spPr>
                          <a:xfrm>
                            <a:off x="0" y="0"/>
                            <a:ext cx="3067265" cy="2470174"/>
                          </a:xfrm>
                          <a:prstGeom prst="rect">
                            <a:avLst/>
                          </a:prstGeom>
                        </pic:spPr>
                      </pic:pic>
                    </a:graphicData>
                  </a:graphic>
                </wp:inline>
              </w:drawing>
            </w:r>
          </w:p>
        </w:tc>
      </w:tr>
    </w:tbl>
    <w:p w14:paraId="11D9991F" w14:textId="77777777" w:rsidR="001114BB" w:rsidRPr="00F63151" w:rsidRDefault="001114BB" w:rsidP="00F31CEC">
      <w:pPr>
        <w:rPr>
          <w:lang w:val="en-US"/>
        </w:rPr>
      </w:pPr>
    </w:p>
    <w:sectPr w:rsidR="001114BB" w:rsidRPr="00F63151" w:rsidSect="002D770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6D25" w14:textId="77777777" w:rsidR="00123C35" w:rsidRDefault="00123C35" w:rsidP="008E1599">
      <w:pPr>
        <w:spacing w:after="0" w:line="240" w:lineRule="auto"/>
      </w:pPr>
      <w:r>
        <w:separator/>
      </w:r>
    </w:p>
  </w:endnote>
  <w:endnote w:type="continuationSeparator" w:id="0">
    <w:p w14:paraId="77719306" w14:textId="77777777" w:rsidR="00123C35" w:rsidRDefault="00123C35" w:rsidP="008E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7B1B" w14:textId="6CD9A186" w:rsidR="009D686B" w:rsidRPr="00DA0F4C" w:rsidRDefault="00DA0F4C">
    <w:pPr>
      <w:pStyle w:val="Pieddepage"/>
      <w:tabs>
        <w:tab w:val="clear" w:pos="4536"/>
        <w:tab w:val="center" w:pos="8222"/>
      </w:tabs>
      <w:rPr>
        <w:lang w:val="en-US"/>
      </w:rPr>
    </w:pPr>
    <w:r w:rsidRPr="00DA0F4C">
      <w:rPr>
        <w:lang w:val="en-US"/>
      </w:rPr>
      <w:t>The MIW project in brief - July 2023</w:t>
    </w:r>
    <w:r>
      <w:rPr>
        <w:lang w:val="en-US"/>
      </w:rPr>
      <w:tab/>
    </w:r>
    <w:r w:rsidRPr="00DA0F4C">
      <w:rPr>
        <w:lang w:val="en-US"/>
      </w:rPr>
      <w:t xml:space="preserve"> </w:t>
    </w:r>
    <w:r>
      <w:fldChar w:fldCharType="begin"/>
    </w:r>
    <w:r w:rsidRPr="00DA0F4C">
      <w:rPr>
        <w:lang w:val="en-US"/>
      </w:rPr>
      <w:instrText>PAGE   \* MERGEFORMAT</w:instrText>
    </w:r>
    <w:r>
      <w:fldChar w:fldCharType="separate"/>
    </w:r>
    <w:r w:rsidRPr="00DA0F4C">
      <w:rPr>
        <w:lang w:val="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FA4D" w14:textId="77777777" w:rsidR="00123C35" w:rsidRDefault="00123C35" w:rsidP="008E1599">
      <w:pPr>
        <w:spacing w:after="0" w:line="240" w:lineRule="auto"/>
      </w:pPr>
      <w:r>
        <w:separator/>
      </w:r>
    </w:p>
  </w:footnote>
  <w:footnote w:type="continuationSeparator" w:id="0">
    <w:p w14:paraId="7585E2E7" w14:textId="77777777" w:rsidR="00123C35" w:rsidRDefault="00123C35" w:rsidP="008E1599">
      <w:pPr>
        <w:spacing w:after="0" w:line="240" w:lineRule="auto"/>
      </w:pPr>
      <w:r>
        <w:continuationSeparator/>
      </w:r>
    </w:p>
  </w:footnote>
  <w:footnote w:id="1">
    <w:p w14:paraId="6024B08D" w14:textId="77777777" w:rsidR="009D686B" w:rsidRDefault="00DA0F4C">
      <w:pPr>
        <w:pStyle w:val="Notedebasdepage"/>
      </w:pPr>
      <w:r>
        <w:rPr>
          <w:rStyle w:val="Appelnotedebasdep"/>
        </w:rPr>
        <w:footnoteRef/>
      </w:r>
      <w:hyperlink r:id="rId1" w:history="1">
        <w:r w:rsidRPr="00E952BD">
          <w:rPr>
            <w:rStyle w:val="Lienhypertexte"/>
          </w:rPr>
          <w:t xml:space="preserve"> https://www.makingitwork-crpd.org/fr/miw-guide-pratique-lintersectionnalite-en-action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C80A" w14:textId="77777777" w:rsidR="008E1599" w:rsidRDefault="008E1599" w:rsidP="008E1599">
    <w:pPr>
      <w:pStyle w:val="En-tte"/>
      <w:jc w:val="center"/>
    </w:pPr>
    <w:r>
      <w:rPr>
        <w:noProof/>
        <w:lang w:eastAsia="fr-FR"/>
      </w:rPr>
      <w:drawing>
        <wp:inline distT="0" distB="0" distL="0" distR="0" wp14:anchorId="07640C99" wp14:editId="2444029B">
          <wp:extent cx="2667000" cy="638528"/>
          <wp:effectExtent l="0" t="0" r="0" b="9525"/>
          <wp:docPr id="1" name="Image 1" descr="Logo Humanité et Inclusion, ressemblant à une main disant un &quot;Salut !&quot; et Logo Making It Work, avec le nom 'Making It Work' et 2 engrenages" title="Logo HI et logo M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LogosHI+MIW.JPG"/>
                  <pic:cNvPicPr/>
                </pic:nvPicPr>
                <pic:blipFill>
                  <a:blip r:embed="rId1">
                    <a:extLst>
                      <a:ext uri="{28A0092B-C50C-407E-A947-70E740481C1C}">
                        <a14:useLocalDpi xmlns:a14="http://schemas.microsoft.com/office/drawing/2010/main" val="0"/>
                      </a:ext>
                    </a:extLst>
                  </a:blip>
                  <a:stretch>
                    <a:fillRect/>
                  </a:stretch>
                </pic:blipFill>
                <pic:spPr>
                  <a:xfrm>
                    <a:off x="0" y="0"/>
                    <a:ext cx="2696325" cy="645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43CC"/>
    <w:multiLevelType w:val="hybridMultilevel"/>
    <w:tmpl w:val="207A440E"/>
    <w:lvl w:ilvl="0" w:tplc="51D8391C">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F585D"/>
    <w:multiLevelType w:val="hybridMultilevel"/>
    <w:tmpl w:val="5F92F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107339">
    <w:abstractNumId w:val="1"/>
  </w:num>
  <w:num w:numId="2" w16cid:durableId="18446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EC"/>
    <w:rsid w:val="000D5008"/>
    <w:rsid w:val="001114BB"/>
    <w:rsid w:val="001121B4"/>
    <w:rsid w:val="00117E7F"/>
    <w:rsid w:val="00123C35"/>
    <w:rsid w:val="00130B91"/>
    <w:rsid w:val="00181683"/>
    <w:rsid w:val="001F429F"/>
    <w:rsid w:val="001F4516"/>
    <w:rsid w:val="00226570"/>
    <w:rsid w:val="002618A9"/>
    <w:rsid w:val="002B21DA"/>
    <w:rsid w:val="002D7701"/>
    <w:rsid w:val="00365FE8"/>
    <w:rsid w:val="00370E70"/>
    <w:rsid w:val="003E67A3"/>
    <w:rsid w:val="00450057"/>
    <w:rsid w:val="004878EF"/>
    <w:rsid w:val="004E0D56"/>
    <w:rsid w:val="004F4A10"/>
    <w:rsid w:val="00581447"/>
    <w:rsid w:val="00612FF9"/>
    <w:rsid w:val="00692497"/>
    <w:rsid w:val="007C0E12"/>
    <w:rsid w:val="0083658E"/>
    <w:rsid w:val="008C7F6B"/>
    <w:rsid w:val="008E1599"/>
    <w:rsid w:val="0091179A"/>
    <w:rsid w:val="0098397E"/>
    <w:rsid w:val="009D28A4"/>
    <w:rsid w:val="009D686B"/>
    <w:rsid w:val="009E1E5C"/>
    <w:rsid w:val="00A34199"/>
    <w:rsid w:val="00A847D0"/>
    <w:rsid w:val="00A90B99"/>
    <w:rsid w:val="00AA1513"/>
    <w:rsid w:val="00BC0A07"/>
    <w:rsid w:val="00C333B8"/>
    <w:rsid w:val="00C675F9"/>
    <w:rsid w:val="00D030BF"/>
    <w:rsid w:val="00D066E1"/>
    <w:rsid w:val="00D21FE9"/>
    <w:rsid w:val="00D42F8A"/>
    <w:rsid w:val="00D84AED"/>
    <w:rsid w:val="00DA0F4C"/>
    <w:rsid w:val="00E87911"/>
    <w:rsid w:val="00EE388A"/>
    <w:rsid w:val="00F31CEC"/>
    <w:rsid w:val="00F63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53267"/>
  <w15:chartTrackingRefBased/>
  <w15:docId w15:val="{D75DCD21-5E7F-4557-A077-EAC9800D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B8"/>
    <w:rPr>
      <w:sz w:val="21"/>
    </w:rPr>
  </w:style>
  <w:style w:type="paragraph" w:styleId="Titre1">
    <w:name w:val="heading 1"/>
    <w:basedOn w:val="Normal"/>
    <w:next w:val="Normal"/>
    <w:link w:val="Titre1Car"/>
    <w:uiPriority w:val="9"/>
    <w:qFormat/>
    <w:rsid w:val="002D7701"/>
    <w:pPr>
      <w:keepNext/>
      <w:keepLines/>
      <w:spacing w:before="240" w:after="0"/>
      <w:outlineLvl w:val="0"/>
    </w:pPr>
    <w:rPr>
      <w:rFonts w:asciiTheme="majorHAnsi" w:eastAsiaTheme="majorEastAsia" w:hAnsiTheme="majorHAnsi" w:cstheme="majorBidi"/>
      <w:b/>
      <w:bCs/>
      <w:color w:val="2F5496" w:themeColor="accent5"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1CEC"/>
    <w:pPr>
      <w:autoSpaceDE w:val="0"/>
      <w:autoSpaceDN w:val="0"/>
      <w:adjustRightInd w:val="0"/>
      <w:spacing w:after="0" w:line="240" w:lineRule="auto"/>
    </w:pPr>
    <w:rPr>
      <w:rFonts w:ascii="Nunito" w:hAnsi="Nunito" w:cs="Nunito"/>
      <w:color w:val="000000"/>
      <w:sz w:val="24"/>
      <w:szCs w:val="24"/>
    </w:rPr>
  </w:style>
  <w:style w:type="paragraph" w:customStyle="1" w:styleId="Pa3">
    <w:name w:val="Pa3"/>
    <w:basedOn w:val="Default"/>
    <w:next w:val="Default"/>
    <w:uiPriority w:val="99"/>
    <w:rsid w:val="004F4A10"/>
    <w:pPr>
      <w:spacing w:line="201" w:lineRule="atLeast"/>
    </w:pPr>
    <w:rPr>
      <w:rFonts w:cstheme="minorBidi"/>
      <w:color w:val="auto"/>
    </w:rPr>
  </w:style>
  <w:style w:type="character" w:styleId="lev">
    <w:name w:val="Strong"/>
    <w:basedOn w:val="Policepardfaut"/>
    <w:uiPriority w:val="22"/>
    <w:qFormat/>
    <w:rsid w:val="003E67A3"/>
    <w:rPr>
      <w:b/>
      <w:bCs/>
    </w:rPr>
  </w:style>
  <w:style w:type="paragraph" w:styleId="Sansinterligne">
    <w:name w:val="No Spacing"/>
    <w:uiPriority w:val="1"/>
    <w:qFormat/>
    <w:rsid w:val="00C333B8"/>
    <w:pPr>
      <w:spacing w:after="0" w:line="240" w:lineRule="auto"/>
    </w:pPr>
    <w:rPr>
      <w:sz w:val="21"/>
    </w:rPr>
  </w:style>
  <w:style w:type="character" w:customStyle="1" w:styleId="Titre1Car">
    <w:name w:val="Titre 1 Car"/>
    <w:basedOn w:val="Policepardfaut"/>
    <w:link w:val="Titre1"/>
    <w:uiPriority w:val="9"/>
    <w:rsid w:val="002D7701"/>
    <w:rPr>
      <w:rFonts w:asciiTheme="majorHAnsi" w:eastAsiaTheme="majorEastAsia" w:hAnsiTheme="majorHAnsi" w:cstheme="majorBidi"/>
      <w:b/>
      <w:bCs/>
      <w:color w:val="2F5496" w:themeColor="accent5" w:themeShade="BF"/>
      <w:sz w:val="32"/>
      <w:szCs w:val="32"/>
    </w:rPr>
  </w:style>
  <w:style w:type="paragraph" w:styleId="Titre">
    <w:name w:val="Title"/>
    <w:basedOn w:val="Normal"/>
    <w:next w:val="Normal"/>
    <w:link w:val="TitreCar"/>
    <w:uiPriority w:val="10"/>
    <w:qFormat/>
    <w:rsid w:val="008E15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159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E1599"/>
    <w:pPr>
      <w:tabs>
        <w:tab w:val="center" w:pos="4536"/>
        <w:tab w:val="right" w:pos="9072"/>
      </w:tabs>
      <w:spacing w:after="0" w:line="240" w:lineRule="auto"/>
    </w:pPr>
  </w:style>
  <w:style w:type="character" w:customStyle="1" w:styleId="En-tteCar">
    <w:name w:val="En-tête Car"/>
    <w:basedOn w:val="Policepardfaut"/>
    <w:link w:val="En-tte"/>
    <w:uiPriority w:val="99"/>
    <w:rsid w:val="008E1599"/>
    <w:rPr>
      <w:sz w:val="21"/>
    </w:rPr>
  </w:style>
  <w:style w:type="paragraph" w:styleId="Pieddepage">
    <w:name w:val="footer"/>
    <w:basedOn w:val="Normal"/>
    <w:link w:val="PieddepageCar"/>
    <w:uiPriority w:val="99"/>
    <w:unhideWhenUsed/>
    <w:rsid w:val="008E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599"/>
    <w:rPr>
      <w:sz w:val="21"/>
    </w:rPr>
  </w:style>
  <w:style w:type="paragraph" w:styleId="Paragraphedeliste">
    <w:name w:val="List Paragraph"/>
    <w:basedOn w:val="Normal"/>
    <w:uiPriority w:val="34"/>
    <w:qFormat/>
    <w:rsid w:val="009E1E5C"/>
    <w:pPr>
      <w:ind w:left="720"/>
      <w:contextualSpacing/>
    </w:pPr>
  </w:style>
  <w:style w:type="character" w:styleId="Lienhypertexte">
    <w:name w:val="Hyperlink"/>
    <w:basedOn w:val="Policepardfaut"/>
    <w:uiPriority w:val="99"/>
    <w:unhideWhenUsed/>
    <w:rsid w:val="0091179A"/>
    <w:rPr>
      <w:color w:val="0563C1" w:themeColor="hyperlink"/>
      <w:u w:val="single"/>
    </w:rPr>
  </w:style>
  <w:style w:type="paragraph" w:styleId="Notedebasdepage">
    <w:name w:val="footnote text"/>
    <w:basedOn w:val="Normal"/>
    <w:link w:val="NotedebasdepageCar"/>
    <w:uiPriority w:val="99"/>
    <w:semiHidden/>
    <w:unhideWhenUsed/>
    <w:rsid w:val="009117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79A"/>
    <w:rPr>
      <w:sz w:val="20"/>
      <w:szCs w:val="20"/>
    </w:rPr>
  </w:style>
  <w:style w:type="character" w:styleId="Appelnotedebasdep">
    <w:name w:val="footnote reference"/>
    <w:basedOn w:val="Policepardfaut"/>
    <w:uiPriority w:val="99"/>
    <w:semiHidden/>
    <w:unhideWhenUsed/>
    <w:rsid w:val="0091179A"/>
    <w:rPr>
      <w:vertAlign w:val="superscript"/>
    </w:rPr>
  </w:style>
  <w:style w:type="table" w:styleId="Grilledutableau">
    <w:name w:val="Table Grid"/>
    <w:basedOn w:val="TableauNormal"/>
    <w:uiPriority w:val="59"/>
    <w:rsid w:val="00F63151"/>
    <w:pPr>
      <w:spacing w:after="0" w:line="240" w:lineRule="auto"/>
    </w:pPr>
    <w:rPr>
      <w:rFonts w:ascii="Calibri" w:eastAsia="Calibri" w:hAnsi="Calibri" w:cs="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1447"/>
    <w:rPr>
      <w:sz w:val="16"/>
      <w:szCs w:val="16"/>
    </w:rPr>
  </w:style>
  <w:style w:type="paragraph" w:styleId="Commentaire">
    <w:name w:val="annotation text"/>
    <w:basedOn w:val="Normal"/>
    <w:link w:val="CommentaireCar"/>
    <w:uiPriority w:val="99"/>
    <w:semiHidden/>
    <w:unhideWhenUsed/>
    <w:rsid w:val="00581447"/>
    <w:pPr>
      <w:spacing w:line="240" w:lineRule="auto"/>
    </w:pPr>
    <w:rPr>
      <w:sz w:val="20"/>
      <w:szCs w:val="20"/>
    </w:rPr>
  </w:style>
  <w:style w:type="character" w:customStyle="1" w:styleId="CommentaireCar">
    <w:name w:val="Commentaire Car"/>
    <w:basedOn w:val="Policepardfaut"/>
    <w:link w:val="Commentaire"/>
    <w:uiPriority w:val="99"/>
    <w:semiHidden/>
    <w:rsid w:val="00581447"/>
    <w:rPr>
      <w:sz w:val="20"/>
      <w:szCs w:val="20"/>
    </w:rPr>
  </w:style>
  <w:style w:type="paragraph" w:styleId="Objetducommentaire">
    <w:name w:val="annotation subject"/>
    <w:basedOn w:val="Commentaire"/>
    <w:next w:val="Commentaire"/>
    <w:link w:val="ObjetducommentaireCar"/>
    <w:uiPriority w:val="99"/>
    <w:semiHidden/>
    <w:unhideWhenUsed/>
    <w:rsid w:val="00581447"/>
    <w:rPr>
      <w:b/>
      <w:bCs/>
    </w:rPr>
  </w:style>
  <w:style w:type="character" w:customStyle="1" w:styleId="ObjetducommentaireCar">
    <w:name w:val="Objet du commentaire Car"/>
    <w:basedOn w:val="CommentaireCar"/>
    <w:link w:val="Objetducommentaire"/>
    <w:uiPriority w:val="99"/>
    <w:semiHidden/>
    <w:rsid w:val="00581447"/>
    <w:rPr>
      <w:b/>
      <w:bCs/>
      <w:sz w:val="20"/>
      <w:szCs w:val="20"/>
    </w:rPr>
  </w:style>
  <w:style w:type="paragraph" w:styleId="Textedebulles">
    <w:name w:val="Balloon Text"/>
    <w:basedOn w:val="Normal"/>
    <w:link w:val="TextedebullesCar"/>
    <w:uiPriority w:val="99"/>
    <w:semiHidden/>
    <w:unhideWhenUsed/>
    <w:rsid w:val="005814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447"/>
    <w:rPr>
      <w:rFonts w:ascii="Segoe UI" w:hAnsi="Segoe UI" w:cs="Segoe UI"/>
      <w:sz w:val="18"/>
      <w:szCs w:val="18"/>
    </w:rPr>
  </w:style>
  <w:style w:type="paragraph" w:styleId="Rvision">
    <w:name w:val="Revision"/>
    <w:hidden/>
    <w:uiPriority w:val="99"/>
    <w:semiHidden/>
    <w:rsid w:val="000D5008"/>
    <w:pPr>
      <w:spacing w:after="0" w:line="240" w:lineRule="auto"/>
    </w:pPr>
    <w:rPr>
      <w:sz w:val="21"/>
    </w:rPr>
  </w:style>
  <w:style w:type="character" w:styleId="Mentionnonrsolue">
    <w:name w:val="Unresolved Mention"/>
    <w:basedOn w:val="Policepardfaut"/>
    <w:uiPriority w:val="99"/>
    <w:semiHidden/>
    <w:unhideWhenUsed/>
    <w:rsid w:val="004878EF"/>
    <w:rPr>
      <w:color w:val="605E5C"/>
      <w:shd w:val="clear" w:color="auto" w:fill="E1DFDD"/>
    </w:rPr>
  </w:style>
  <w:style w:type="paragraph" w:styleId="NormalWeb">
    <w:name w:val="Normal (Web)"/>
    <w:basedOn w:val="Normal"/>
    <w:uiPriority w:val="99"/>
    <w:semiHidden/>
    <w:unhideWhenUsed/>
    <w:rsid w:val="004500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t-core-attributed-string--link-inherit-color">
    <w:name w:val="yt-core-attributed-string--link-inherit-color"/>
    <w:basedOn w:val="Policepardfaut"/>
    <w:rsid w:val="0045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kingitwork-crpd.org/sites/default/files/2022-12/Rapport%20MIW-LeadershipFemmesHandicapees-2022-VF.pdf" TargetMode="External"/><Relationship Id="rId18" Type="http://schemas.openxmlformats.org/officeDocument/2006/relationships/hyperlink" Target="https://www.makingitwork-crpd.org/index.php/news/miw-cedaw-committee-22-feb-2023"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makingitwork-crpd.org/sites/default/files/2022-12/Rapport%20MIW-LeadershipFemmesHandicapees-2022-VF.doc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kingitwork-crpd.org/sites/default/files/2022-12/Rapport%20MIW-LeadershipFemmesHandicapees-2022-VF.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MIW-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makingitwork-crpd.org/fr/miw-guide-pratique-lintersectionnalite-en-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B4C9B1A4CDA4986FF088F6BEC1977" ma:contentTypeVersion="15" ma:contentTypeDescription="Crée un document." ma:contentTypeScope="" ma:versionID="79de0efa918642f84e06f9a2f0de6aa7">
  <xsd:schema xmlns:xsd="http://www.w3.org/2001/XMLSchema" xmlns:xs="http://www.w3.org/2001/XMLSchema" xmlns:p="http://schemas.microsoft.com/office/2006/metadata/properties" xmlns:ns3="038354e1-57df-454b-8e3c-c15f1cea1051" xmlns:ns4="24b9a167-b3e0-4c7d-8a14-aa4de4ded54b" targetNamespace="http://schemas.microsoft.com/office/2006/metadata/properties" ma:root="true" ma:fieldsID="85a86e05e828ac67cfac34e3fbc32bc6" ns3:_="" ns4:_="">
    <xsd:import namespace="038354e1-57df-454b-8e3c-c15f1cea1051"/>
    <xsd:import namespace="24b9a167-b3e0-4c7d-8a14-aa4de4ded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54e1-57df-454b-8e3c-c15f1cea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9a167-b3e0-4c7d-8a14-aa4de4ded54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38354e1-57df-454b-8e3c-c15f1cea1051" xsi:nil="true"/>
  </documentManagement>
</p:properties>
</file>

<file path=customXml/itemProps1.xml><?xml version="1.0" encoding="utf-8"?>
<ds:datastoreItem xmlns:ds="http://schemas.openxmlformats.org/officeDocument/2006/customXml" ds:itemID="{396D3D0F-1597-4FA9-AE9B-D4FE79E3A78E}">
  <ds:schemaRefs>
    <ds:schemaRef ds:uri="http://schemas.microsoft.com/sharepoint/v3/contenttype/forms"/>
  </ds:schemaRefs>
</ds:datastoreItem>
</file>

<file path=customXml/itemProps2.xml><?xml version="1.0" encoding="utf-8"?>
<ds:datastoreItem xmlns:ds="http://schemas.openxmlformats.org/officeDocument/2006/customXml" ds:itemID="{6EFC35BA-932D-4BEF-AEA5-DDC85560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354e1-57df-454b-8e3c-c15f1cea1051"/>
    <ds:schemaRef ds:uri="24b9a167-b3e0-4c7d-8a14-aa4de4ded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824D8-3305-42EE-B707-A360EB6256E0}">
  <ds:schemaRefs>
    <ds:schemaRef ds:uri="http://schemas.openxmlformats.org/officeDocument/2006/bibliography"/>
  </ds:schemaRefs>
</ds:datastoreItem>
</file>

<file path=customXml/itemProps4.xml><?xml version="1.0" encoding="utf-8"?>
<ds:datastoreItem xmlns:ds="http://schemas.openxmlformats.org/officeDocument/2006/customXml" ds:itemID="{D8CB9ACD-1733-498D-8E1D-7799869C2BE8}">
  <ds:schemaRefs>
    <ds:schemaRef ds:uri="http://schemas.microsoft.com/office/infopath/2007/PartnerControls"/>
    <ds:schemaRef ds:uri="038354e1-57df-454b-8e3c-c15f1cea1051"/>
    <ds:schemaRef ds:uri="http://purl.org/dc/elements/1.1/"/>
    <ds:schemaRef ds:uri="http://schemas.microsoft.com/office/2006/metadata/properties"/>
    <ds:schemaRef ds:uri="24b9a167-b3e0-4c7d-8a14-aa4de4ded54b"/>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PECOURT</dc:creator>
  <cp:keywords>, docId:2794A6A81FCC1D109B758F312872BD88</cp:keywords>
  <dc:description/>
  <cp:lastModifiedBy>Sophie PECOURT</cp:lastModifiedBy>
  <cp:revision>5</cp:revision>
  <dcterms:created xsi:type="dcterms:W3CDTF">2023-07-07T09:25:00Z</dcterms:created>
  <dcterms:modified xsi:type="dcterms:W3CDTF">2023-11-13T10:05:00Z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0x010100A46B4C9B1A4CDA4986FF088F6BEC1977</vt:lpwstr>
  </property>
</Properties>
</file>